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BEA458">
      <w:pPr>
        <w:spacing w:before="156" w:beforeLines="50" w:after="156" w:afterLines="50" w:line="480" w:lineRule="exact"/>
        <w:ind w:left="558" w:hanging="558" w:hangingChars="155"/>
        <w:jc w:val="center"/>
        <w:rPr>
          <w:rFonts w:ascii="方正小标宋简体" w:hAnsi="方正小标宋简体" w:eastAsia="方正小标宋简体" w:cs="方正小标宋简体"/>
          <w:sz w:val="36"/>
          <w:szCs w:val="36"/>
        </w:rPr>
      </w:pPr>
      <w:bookmarkStart w:id="1" w:name="_GoBack"/>
      <w:bookmarkEnd w:id="1"/>
      <w:r>
        <w:rPr>
          <w:rFonts w:hint="eastAsia" w:ascii="方正小标宋简体" w:hAnsi="方正小标宋简体" w:eastAsia="方正小标宋简体" w:cs="方正小标宋简体"/>
          <w:bCs/>
          <w:sz w:val="36"/>
          <w:szCs w:val="36"/>
        </w:rPr>
        <w:t>法学院涉外法治微专业人才培养方案</w:t>
      </w:r>
    </w:p>
    <w:p w14:paraId="76D41B57">
      <w:pPr>
        <w:widowControl/>
        <w:spacing w:after="156" w:line="0" w:lineRule="atLeast"/>
        <w:ind w:firstLine="560" w:firstLineChars="200"/>
        <w:jc w:val="left"/>
        <w:rPr>
          <w:rFonts w:ascii="黑体" w:hAnsi="黑体" w:eastAsia="黑体" w:cs="黑体"/>
          <w:bCs/>
          <w:sz w:val="28"/>
          <w:szCs w:val="28"/>
        </w:rPr>
      </w:pPr>
    </w:p>
    <w:p w14:paraId="0F0F5949">
      <w:pPr>
        <w:widowControl/>
        <w:spacing w:after="156" w:line="0" w:lineRule="atLeast"/>
        <w:ind w:firstLine="560" w:firstLineChars="200"/>
        <w:jc w:val="left"/>
        <w:rPr>
          <w:rFonts w:ascii="黑体" w:hAnsi="黑体" w:eastAsia="黑体" w:cs="黑体"/>
          <w:bCs/>
          <w:sz w:val="28"/>
          <w:szCs w:val="28"/>
        </w:rPr>
      </w:pPr>
      <w:r>
        <w:rPr>
          <w:rFonts w:hint="eastAsia" w:ascii="黑体" w:hAnsi="黑体" w:eastAsia="黑体" w:cs="黑体"/>
          <w:bCs/>
          <w:sz w:val="28"/>
          <w:szCs w:val="28"/>
        </w:rPr>
        <w:t>一、培养目标</w:t>
      </w:r>
    </w:p>
    <w:p w14:paraId="4FEC9B54">
      <w:pPr>
        <w:widowControl/>
        <w:spacing w:after="156"/>
        <w:ind w:firstLine="560" w:firstLineChars="200"/>
        <w:jc w:val="left"/>
        <w:rPr>
          <w:rFonts w:ascii="仿宋_GB2312" w:eastAsia="仿宋_GB2312"/>
          <w:sz w:val="28"/>
          <w:szCs w:val="28"/>
        </w:rPr>
      </w:pPr>
      <w:r>
        <w:rPr>
          <w:rFonts w:hint="eastAsia" w:ascii="仿宋_GB2312" w:eastAsia="仿宋_GB2312"/>
          <w:sz w:val="28"/>
          <w:szCs w:val="28"/>
        </w:rPr>
        <w:t>涉外法治微专业项目致力于培养有家国情怀、有全球视野、有专业本领的外语、法学双精通高端涉外法治人才,帮助学习者在掌握涉外法律工作基本知识和技能的基础上,运用专业外语和跨文化交流能力解决涉外法律实务问题,使学习者具备在国际组织、跨国公司、国内司法机关以及其他涉外机构从事法律相关工作的能力。</w:t>
      </w:r>
    </w:p>
    <w:p w14:paraId="29E027DB">
      <w:pPr>
        <w:widowControl/>
        <w:spacing w:after="156" w:line="0" w:lineRule="atLeast"/>
        <w:ind w:firstLine="560" w:firstLineChars="200"/>
        <w:jc w:val="left"/>
        <w:rPr>
          <w:rFonts w:ascii="仿宋_GB2312" w:eastAsia="仿宋_GB2312"/>
          <w:sz w:val="28"/>
          <w:szCs w:val="28"/>
        </w:rPr>
      </w:pPr>
    </w:p>
    <w:p w14:paraId="07C8CDDE">
      <w:pPr>
        <w:widowControl/>
        <w:spacing w:after="156" w:line="0" w:lineRule="atLeast"/>
        <w:ind w:firstLine="560" w:firstLineChars="200"/>
        <w:jc w:val="left"/>
        <w:rPr>
          <w:rFonts w:ascii="黑体" w:hAnsi="黑体" w:eastAsia="黑体" w:cs="黑体"/>
          <w:bCs/>
          <w:sz w:val="28"/>
          <w:szCs w:val="28"/>
        </w:rPr>
      </w:pPr>
      <w:r>
        <w:rPr>
          <w:rFonts w:hint="eastAsia" w:ascii="黑体" w:hAnsi="黑体" w:eastAsia="黑体" w:cs="黑体"/>
          <w:bCs/>
          <w:sz w:val="28"/>
          <w:szCs w:val="28"/>
        </w:rPr>
        <w:t>二、毕业要求</w:t>
      </w:r>
    </w:p>
    <w:p w14:paraId="5EC44F5D">
      <w:pPr>
        <w:widowControl/>
        <w:spacing w:after="156"/>
        <w:ind w:firstLine="560" w:firstLineChars="200"/>
        <w:jc w:val="left"/>
        <w:rPr>
          <w:rFonts w:ascii="宋体" w:hAnsi="宋体"/>
          <w:bCs/>
          <w:sz w:val="28"/>
          <w:szCs w:val="28"/>
        </w:rPr>
      </w:pPr>
      <w:bookmarkStart w:id="0" w:name="_Hlk92630405"/>
      <w:r>
        <w:rPr>
          <w:rFonts w:ascii="仿宋_GB2312" w:eastAsia="仿宋_GB2312"/>
          <w:sz w:val="28"/>
          <w:szCs w:val="28"/>
        </w:rPr>
        <w:t>涉外法治微专业</w:t>
      </w:r>
      <w:bookmarkEnd w:id="0"/>
      <w:r>
        <w:rPr>
          <w:rFonts w:ascii="仿宋_GB2312" w:eastAsia="仿宋_GB2312"/>
          <w:sz w:val="28"/>
          <w:szCs w:val="28"/>
        </w:rPr>
        <w:t>学生修满</w:t>
      </w:r>
      <w:r>
        <w:rPr>
          <w:rFonts w:hint="eastAsia" w:ascii="仿宋_GB2312" w:eastAsia="仿宋_GB2312"/>
          <w:sz w:val="28"/>
          <w:szCs w:val="28"/>
        </w:rPr>
        <w:t>10</w:t>
      </w:r>
      <w:r>
        <w:rPr>
          <w:rFonts w:ascii="仿宋_GB2312" w:eastAsia="仿宋_GB2312"/>
          <w:sz w:val="28"/>
          <w:szCs w:val="28"/>
        </w:rPr>
        <w:t>学分，最低学分绩点1.6，准予毕业，颁发沈阳师范大学涉外法治微专业证书。</w:t>
      </w:r>
    </w:p>
    <w:p w14:paraId="05C5F721">
      <w:pPr>
        <w:widowControl/>
        <w:spacing w:after="156" w:line="0" w:lineRule="atLeast"/>
        <w:ind w:firstLine="560" w:firstLineChars="200"/>
        <w:jc w:val="left"/>
        <w:rPr>
          <w:rFonts w:ascii="宋体" w:hAnsi="宋体"/>
          <w:bCs/>
          <w:sz w:val="28"/>
          <w:szCs w:val="28"/>
        </w:rPr>
      </w:pPr>
    </w:p>
    <w:p w14:paraId="1B939917">
      <w:pPr>
        <w:spacing w:before="156" w:beforeLines="50" w:after="156" w:afterLines="50" w:line="480" w:lineRule="exact"/>
        <w:ind w:firstLine="560" w:firstLineChars="200"/>
        <w:rPr>
          <w:rFonts w:ascii="宋体" w:hAnsi="宋体"/>
          <w:b/>
          <w:sz w:val="28"/>
          <w:szCs w:val="28"/>
        </w:rPr>
      </w:pPr>
      <w:r>
        <w:rPr>
          <w:rFonts w:hint="eastAsia" w:ascii="黑体" w:hAnsi="黑体" w:eastAsia="黑体" w:cs="黑体"/>
          <w:bCs/>
          <w:sz w:val="28"/>
          <w:szCs w:val="28"/>
        </w:rPr>
        <w:t>三、招生对象与条件</w:t>
      </w:r>
    </w:p>
    <w:p w14:paraId="7FD733A0">
      <w:pPr>
        <w:spacing w:line="360" w:lineRule="auto"/>
        <w:ind w:firstLine="560" w:firstLineChars="200"/>
        <w:jc w:val="left"/>
        <w:rPr>
          <w:rFonts w:ascii="仿宋_GB2312" w:eastAsia="仿宋_GB2312"/>
          <w:sz w:val="28"/>
          <w:szCs w:val="28"/>
        </w:rPr>
      </w:pPr>
      <w:r>
        <w:rPr>
          <w:rFonts w:ascii="仿宋_GB2312" w:eastAsia="仿宋_GB2312"/>
          <w:sz w:val="28"/>
          <w:szCs w:val="28"/>
        </w:rPr>
        <w:t>招生专业：不限</w:t>
      </w:r>
    </w:p>
    <w:p w14:paraId="7DE47BA1">
      <w:pPr>
        <w:spacing w:line="360" w:lineRule="auto"/>
        <w:ind w:firstLine="560" w:firstLineChars="200"/>
        <w:jc w:val="left"/>
        <w:rPr>
          <w:rFonts w:ascii="仿宋_GB2312" w:eastAsia="仿宋_GB2312"/>
          <w:sz w:val="28"/>
          <w:szCs w:val="28"/>
        </w:rPr>
      </w:pPr>
      <w:r>
        <w:rPr>
          <w:rFonts w:ascii="仿宋_GB2312" w:eastAsia="仿宋_GB2312"/>
          <w:sz w:val="28"/>
          <w:szCs w:val="28"/>
        </w:rPr>
        <w:t>招生年级：本科一、二年级学生</w:t>
      </w:r>
    </w:p>
    <w:p w14:paraId="15ECA632">
      <w:pPr>
        <w:widowControl/>
        <w:ind w:firstLine="560" w:firstLineChars="200"/>
        <w:rPr>
          <w:rFonts w:ascii="仿宋_GB2312" w:eastAsia="仿宋_GB2312"/>
          <w:sz w:val="28"/>
          <w:szCs w:val="28"/>
        </w:rPr>
      </w:pPr>
      <w:r>
        <w:rPr>
          <w:rFonts w:ascii="仿宋_GB2312" w:eastAsia="仿宋_GB2312"/>
          <w:sz w:val="28"/>
          <w:szCs w:val="28"/>
        </w:rPr>
        <w:t>先修课程要求：语言类课程（如英语、俄语、日语、韩语等课程）、思想道德与法治课程成绩合格。</w:t>
      </w:r>
    </w:p>
    <w:p w14:paraId="22A9FC4F">
      <w:pPr>
        <w:spacing w:before="156" w:beforeLines="50" w:after="156" w:afterLines="50" w:line="480" w:lineRule="exact"/>
        <w:ind w:firstLine="560" w:firstLineChars="200"/>
        <w:rPr>
          <w:rFonts w:ascii="黑体" w:hAnsi="黑体" w:eastAsia="黑体" w:cs="黑体"/>
          <w:bCs/>
          <w:sz w:val="28"/>
          <w:szCs w:val="28"/>
        </w:rPr>
      </w:pPr>
    </w:p>
    <w:p w14:paraId="09EE98B0">
      <w:pPr>
        <w:spacing w:before="156" w:beforeLines="50" w:after="156" w:afterLines="50" w:line="480" w:lineRule="exact"/>
        <w:ind w:firstLine="560" w:firstLineChars="200"/>
        <w:rPr>
          <w:rFonts w:ascii="黑体" w:hAnsi="黑体" w:eastAsia="黑体" w:cs="黑体"/>
          <w:bCs/>
          <w:sz w:val="28"/>
          <w:szCs w:val="28"/>
        </w:rPr>
      </w:pPr>
      <w:r>
        <w:rPr>
          <w:rFonts w:hint="eastAsia" w:ascii="黑体" w:hAnsi="黑体" w:eastAsia="黑体" w:cs="黑体"/>
          <w:bCs/>
          <w:sz w:val="28"/>
          <w:szCs w:val="28"/>
        </w:rPr>
        <w:t>四、学分与证书</w:t>
      </w:r>
    </w:p>
    <w:p w14:paraId="519251A0">
      <w:pPr>
        <w:widowControl/>
        <w:ind w:firstLine="560" w:firstLineChars="200"/>
        <w:rPr>
          <w:rFonts w:ascii="宋体" w:hAnsi="宋体"/>
          <w:bCs/>
          <w:sz w:val="28"/>
          <w:szCs w:val="28"/>
        </w:rPr>
      </w:pPr>
      <w:r>
        <w:rPr>
          <w:rFonts w:hint="eastAsia" w:ascii="仿宋_GB2312" w:eastAsia="仿宋_GB2312"/>
          <w:sz w:val="28"/>
          <w:szCs w:val="28"/>
        </w:rPr>
        <w:t>学生在本科毕业或结业离校前，修读完成微专业培养方案规定的课程，且成绩全部合格，获得相应学分，学校颁发微专业证书。</w:t>
      </w:r>
    </w:p>
    <w:p w14:paraId="6E412E4D">
      <w:pPr>
        <w:spacing w:before="156" w:beforeLines="50" w:after="156" w:afterLines="50" w:line="480" w:lineRule="exact"/>
        <w:ind w:firstLine="560" w:firstLineChars="200"/>
        <w:rPr>
          <w:rFonts w:ascii="黑体" w:hAnsi="黑体" w:eastAsia="黑体" w:cs="黑体"/>
          <w:bCs/>
          <w:sz w:val="28"/>
          <w:szCs w:val="28"/>
        </w:rPr>
      </w:pPr>
    </w:p>
    <w:p w14:paraId="73DD1E29">
      <w:pPr>
        <w:spacing w:before="156" w:beforeLines="50" w:after="156" w:afterLines="50" w:line="480" w:lineRule="exact"/>
        <w:ind w:firstLine="560" w:firstLineChars="200"/>
        <w:rPr>
          <w:rFonts w:ascii="黑体" w:hAnsi="黑体" w:eastAsia="黑体" w:cs="黑体"/>
          <w:bCs/>
          <w:sz w:val="28"/>
          <w:szCs w:val="28"/>
        </w:rPr>
      </w:pPr>
      <w:r>
        <w:rPr>
          <w:rFonts w:hint="eastAsia" w:ascii="黑体" w:hAnsi="黑体" w:eastAsia="黑体" w:cs="黑体"/>
          <w:bCs/>
          <w:sz w:val="28"/>
          <w:szCs w:val="28"/>
        </w:rPr>
        <w:t>五、指导性教学计划进度表</w:t>
      </w:r>
    </w:p>
    <w:tbl>
      <w:tblPr>
        <w:tblStyle w:val="2"/>
        <w:tblpPr w:leftFromText="180" w:rightFromText="180" w:vertAnchor="text" w:horzAnchor="page" w:tblpXSpec="center" w:tblpY="519"/>
        <w:tblOverlap w:val="never"/>
        <w:tblW w:w="50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94"/>
        <w:gridCol w:w="709"/>
        <w:gridCol w:w="849"/>
        <w:gridCol w:w="709"/>
        <w:gridCol w:w="709"/>
        <w:gridCol w:w="709"/>
        <w:gridCol w:w="993"/>
        <w:gridCol w:w="860"/>
      </w:tblGrid>
      <w:tr w14:paraId="0FAE4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2033" w:type="pct"/>
            <w:vMerge w:val="restart"/>
            <w:vAlign w:val="center"/>
          </w:tcPr>
          <w:p w14:paraId="731E0B26">
            <w:pPr>
              <w:widowControl/>
              <w:jc w:val="center"/>
              <w:rPr>
                <w:rFonts w:ascii="黑体" w:hAnsi="黑体" w:eastAsia="黑体"/>
                <w:bCs/>
                <w:sz w:val="21"/>
                <w:szCs w:val="21"/>
              </w:rPr>
            </w:pPr>
            <w:r>
              <w:rPr>
                <w:rFonts w:hint="eastAsia" w:ascii="黑体" w:hAnsi="黑体" w:eastAsia="黑体"/>
                <w:bCs/>
                <w:sz w:val="21"/>
                <w:szCs w:val="21"/>
              </w:rPr>
              <w:t>课程名称</w:t>
            </w:r>
          </w:p>
        </w:tc>
        <w:tc>
          <w:tcPr>
            <w:tcW w:w="380" w:type="pct"/>
            <w:vMerge w:val="restart"/>
            <w:vAlign w:val="center"/>
          </w:tcPr>
          <w:p w14:paraId="635226AE">
            <w:pPr>
              <w:widowControl/>
              <w:jc w:val="center"/>
              <w:rPr>
                <w:rFonts w:ascii="黑体" w:hAnsi="黑体" w:eastAsia="黑体"/>
                <w:bCs/>
                <w:spacing w:val="20"/>
                <w:sz w:val="21"/>
                <w:szCs w:val="21"/>
              </w:rPr>
            </w:pPr>
            <w:r>
              <w:rPr>
                <w:rFonts w:hint="eastAsia" w:ascii="黑体" w:hAnsi="黑体" w:eastAsia="黑体"/>
                <w:bCs/>
                <w:sz w:val="21"/>
                <w:szCs w:val="21"/>
              </w:rPr>
              <w:t>学分</w:t>
            </w:r>
          </w:p>
        </w:tc>
        <w:tc>
          <w:tcPr>
            <w:tcW w:w="455" w:type="pct"/>
            <w:vMerge w:val="restart"/>
            <w:vAlign w:val="center"/>
          </w:tcPr>
          <w:p w14:paraId="0365D00D">
            <w:pPr>
              <w:widowControl/>
              <w:jc w:val="center"/>
              <w:rPr>
                <w:rFonts w:ascii="黑体" w:hAnsi="黑体" w:eastAsia="黑体"/>
                <w:bCs/>
                <w:sz w:val="21"/>
                <w:szCs w:val="21"/>
              </w:rPr>
            </w:pPr>
            <w:r>
              <w:rPr>
                <w:rFonts w:ascii="黑体" w:hAnsi="黑体" w:eastAsia="黑体"/>
                <w:bCs/>
                <w:sz w:val="21"/>
                <w:szCs w:val="21"/>
              </w:rPr>
              <w:t>总学时</w:t>
            </w:r>
          </w:p>
        </w:tc>
        <w:tc>
          <w:tcPr>
            <w:tcW w:w="760" w:type="pct"/>
            <w:gridSpan w:val="2"/>
            <w:vAlign w:val="center"/>
          </w:tcPr>
          <w:p w14:paraId="3C77B4F1">
            <w:pPr>
              <w:widowControl/>
              <w:snapToGrid w:val="0"/>
              <w:jc w:val="center"/>
              <w:rPr>
                <w:rFonts w:ascii="黑体" w:hAnsi="黑体" w:eastAsia="黑体"/>
                <w:bCs/>
                <w:sz w:val="21"/>
                <w:szCs w:val="21"/>
              </w:rPr>
            </w:pPr>
            <w:r>
              <w:rPr>
                <w:rFonts w:hint="eastAsia" w:ascii="黑体" w:hAnsi="黑体" w:eastAsia="黑体"/>
                <w:bCs/>
                <w:sz w:val="21"/>
                <w:szCs w:val="21"/>
              </w:rPr>
              <w:t>学时分配</w:t>
            </w:r>
          </w:p>
        </w:tc>
        <w:tc>
          <w:tcPr>
            <w:tcW w:w="380" w:type="pct"/>
            <w:vMerge w:val="restart"/>
            <w:vAlign w:val="center"/>
          </w:tcPr>
          <w:p w14:paraId="7C11EAC4">
            <w:pPr>
              <w:widowControl/>
              <w:snapToGrid w:val="0"/>
              <w:jc w:val="center"/>
              <w:rPr>
                <w:rFonts w:ascii="黑体" w:hAnsi="黑体" w:eastAsia="黑体"/>
                <w:bCs/>
                <w:sz w:val="21"/>
                <w:szCs w:val="21"/>
              </w:rPr>
            </w:pPr>
            <w:r>
              <w:rPr>
                <w:rFonts w:hint="eastAsia" w:ascii="黑体" w:hAnsi="黑体" w:eastAsia="黑体"/>
                <w:bCs/>
                <w:sz w:val="21"/>
                <w:szCs w:val="21"/>
              </w:rPr>
              <w:t>课程性质</w:t>
            </w:r>
          </w:p>
        </w:tc>
        <w:tc>
          <w:tcPr>
            <w:tcW w:w="532" w:type="pct"/>
            <w:vMerge w:val="restart"/>
            <w:vAlign w:val="center"/>
          </w:tcPr>
          <w:p w14:paraId="0CBD7C40">
            <w:pPr>
              <w:widowControl/>
              <w:snapToGrid w:val="0"/>
              <w:jc w:val="center"/>
              <w:rPr>
                <w:rFonts w:ascii="黑体" w:hAnsi="黑体" w:eastAsia="黑体"/>
                <w:bCs/>
                <w:sz w:val="21"/>
                <w:szCs w:val="21"/>
              </w:rPr>
            </w:pPr>
            <w:r>
              <w:rPr>
                <w:rFonts w:hint="eastAsia" w:ascii="黑体" w:hAnsi="黑体" w:eastAsia="黑体"/>
                <w:bCs/>
                <w:sz w:val="21"/>
                <w:szCs w:val="21"/>
              </w:rPr>
              <w:t>考核方式</w:t>
            </w:r>
          </w:p>
        </w:tc>
        <w:tc>
          <w:tcPr>
            <w:tcW w:w="460" w:type="pct"/>
            <w:vMerge w:val="restart"/>
            <w:vAlign w:val="center"/>
          </w:tcPr>
          <w:p w14:paraId="10BEE860">
            <w:pPr>
              <w:widowControl/>
              <w:snapToGrid w:val="0"/>
              <w:jc w:val="center"/>
              <w:rPr>
                <w:rFonts w:ascii="黑体" w:hAnsi="黑体" w:eastAsia="黑体"/>
                <w:bCs/>
                <w:sz w:val="21"/>
                <w:szCs w:val="21"/>
              </w:rPr>
            </w:pPr>
            <w:r>
              <w:rPr>
                <w:rFonts w:ascii="黑体" w:hAnsi="黑体" w:eastAsia="黑体"/>
                <w:bCs/>
                <w:sz w:val="21"/>
                <w:szCs w:val="21"/>
              </w:rPr>
              <w:t>开课</w:t>
            </w:r>
            <w:r>
              <w:rPr>
                <w:rFonts w:hint="eastAsia" w:ascii="黑体" w:hAnsi="黑体" w:eastAsia="黑体"/>
                <w:bCs/>
                <w:spacing w:val="20"/>
                <w:sz w:val="21"/>
                <w:szCs w:val="21"/>
              </w:rPr>
              <w:t>学期</w:t>
            </w:r>
          </w:p>
        </w:tc>
      </w:tr>
      <w:tr w14:paraId="0DD73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2033" w:type="pct"/>
            <w:vMerge w:val="continue"/>
            <w:vAlign w:val="center"/>
          </w:tcPr>
          <w:p w14:paraId="0F806629">
            <w:pPr>
              <w:widowControl/>
              <w:jc w:val="center"/>
              <w:rPr>
                <w:rFonts w:ascii="黑体" w:hAnsi="黑体" w:eastAsia="黑体"/>
                <w:bCs/>
                <w:sz w:val="21"/>
                <w:szCs w:val="21"/>
              </w:rPr>
            </w:pPr>
          </w:p>
        </w:tc>
        <w:tc>
          <w:tcPr>
            <w:tcW w:w="380" w:type="pct"/>
            <w:vMerge w:val="continue"/>
            <w:tcBorders>
              <w:bottom w:val="single" w:color="auto" w:sz="4" w:space="0"/>
            </w:tcBorders>
            <w:vAlign w:val="center"/>
          </w:tcPr>
          <w:p w14:paraId="4FB52F29">
            <w:pPr>
              <w:widowControl/>
              <w:jc w:val="center"/>
              <w:rPr>
                <w:rFonts w:ascii="黑体" w:hAnsi="黑体" w:eastAsia="黑体"/>
                <w:bCs/>
                <w:sz w:val="21"/>
                <w:szCs w:val="21"/>
              </w:rPr>
            </w:pPr>
          </w:p>
        </w:tc>
        <w:tc>
          <w:tcPr>
            <w:tcW w:w="455" w:type="pct"/>
            <w:vMerge w:val="continue"/>
            <w:vAlign w:val="center"/>
          </w:tcPr>
          <w:p w14:paraId="039AE33D">
            <w:pPr>
              <w:widowControl/>
              <w:jc w:val="center"/>
              <w:rPr>
                <w:rFonts w:ascii="黑体" w:hAnsi="黑体" w:eastAsia="黑体"/>
                <w:bCs/>
                <w:sz w:val="21"/>
                <w:szCs w:val="21"/>
              </w:rPr>
            </w:pPr>
          </w:p>
        </w:tc>
        <w:tc>
          <w:tcPr>
            <w:tcW w:w="380" w:type="pct"/>
            <w:vAlign w:val="center"/>
          </w:tcPr>
          <w:p w14:paraId="0D1B5BF6">
            <w:pPr>
              <w:widowControl/>
              <w:snapToGrid w:val="0"/>
              <w:jc w:val="center"/>
              <w:rPr>
                <w:rFonts w:ascii="黑体" w:hAnsi="黑体" w:eastAsia="黑体"/>
                <w:bCs/>
                <w:sz w:val="21"/>
                <w:szCs w:val="21"/>
              </w:rPr>
            </w:pPr>
            <w:r>
              <w:rPr>
                <w:rFonts w:hint="eastAsia" w:ascii="黑体" w:hAnsi="黑体" w:eastAsia="黑体"/>
                <w:bCs/>
                <w:sz w:val="21"/>
                <w:szCs w:val="21"/>
              </w:rPr>
              <w:t>理论</w:t>
            </w:r>
          </w:p>
        </w:tc>
        <w:tc>
          <w:tcPr>
            <w:tcW w:w="380" w:type="pct"/>
            <w:vAlign w:val="center"/>
          </w:tcPr>
          <w:p w14:paraId="1ACC9105">
            <w:pPr>
              <w:widowControl/>
              <w:snapToGrid w:val="0"/>
              <w:jc w:val="center"/>
              <w:rPr>
                <w:rFonts w:ascii="黑体" w:hAnsi="黑体" w:eastAsia="黑体"/>
                <w:bCs/>
                <w:sz w:val="21"/>
                <w:szCs w:val="21"/>
              </w:rPr>
            </w:pPr>
            <w:r>
              <w:rPr>
                <w:rFonts w:hint="eastAsia" w:ascii="黑体" w:hAnsi="黑体" w:eastAsia="黑体"/>
                <w:bCs/>
                <w:sz w:val="21"/>
                <w:szCs w:val="21"/>
              </w:rPr>
              <w:t>实践</w:t>
            </w:r>
          </w:p>
        </w:tc>
        <w:tc>
          <w:tcPr>
            <w:tcW w:w="380" w:type="pct"/>
            <w:vMerge w:val="continue"/>
            <w:vAlign w:val="center"/>
          </w:tcPr>
          <w:p w14:paraId="65951E38">
            <w:pPr>
              <w:widowControl/>
              <w:snapToGrid w:val="0"/>
              <w:jc w:val="center"/>
              <w:rPr>
                <w:rFonts w:ascii="黑体" w:hAnsi="黑体" w:eastAsia="黑体"/>
                <w:bCs/>
                <w:sz w:val="21"/>
                <w:szCs w:val="21"/>
              </w:rPr>
            </w:pPr>
          </w:p>
        </w:tc>
        <w:tc>
          <w:tcPr>
            <w:tcW w:w="532" w:type="pct"/>
            <w:vMerge w:val="continue"/>
            <w:tcBorders>
              <w:bottom w:val="single" w:color="auto" w:sz="4" w:space="0"/>
            </w:tcBorders>
            <w:vAlign w:val="center"/>
          </w:tcPr>
          <w:p w14:paraId="3B8BD0E3">
            <w:pPr>
              <w:widowControl/>
              <w:snapToGrid w:val="0"/>
              <w:jc w:val="center"/>
              <w:rPr>
                <w:rFonts w:ascii="黑体" w:hAnsi="黑体" w:eastAsia="黑体"/>
                <w:bCs/>
                <w:sz w:val="21"/>
                <w:szCs w:val="21"/>
              </w:rPr>
            </w:pPr>
          </w:p>
        </w:tc>
        <w:tc>
          <w:tcPr>
            <w:tcW w:w="460" w:type="pct"/>
            <w:vMerge w:val="continue"/>
            <w:tcBorders>
              <w:bottom w:val="single" w:color="auto" w:sz="4" w:space="0"/>
            </w:tcBorders>
            <w:vAlign w:val="center"/>
          </w:tcPr>
          <w:p w14:paraId="66ADE460">
            <w:pPr>
              <w:widowControl/>
              <w:snapToGrid w:val="0"/>
              <w:jc w:val="center"/>
              <w:rPr>
                <w:rFonts w:ascii="黑体" w:hAnsi="黑体" w:eastAsia="黑体"/>
                <w:bCs/>
                <w:sz w:val="21"/>
                <w:szCs w:val="21"/>
              </w:rPr>
            </w:pPr>
          </w:p>
        </w:tc>
      </w:tr>
      <w:tr w14:paraId="4254B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2033" w:type="pct"/>
            <w:vAlign w:val="center"/>
          </w:tcPr>
          <w:p w14:paraId="691CB915">
            <w:pPr>
              <w:widowControl/>
              <w:jc w:val="center"/>
              <w:rPr>
                <w:rFonts w:ascii="仿宋_GB2312" w:hAnsi="仿宋_GB2312" w:eastAsia="仿宋_GB2312" w:cs="仿宋_GB2312"/>
                <w:bCs/>
                <w:color w:val="0000FF"/>
                <w:spacing w:val="20"/>
                <w:sz w:val="21"/>
                <w:szCs w:val="21"/>
              </w:rPr>
            </w:pPr>
            <w:r>
              <w:rPr>
                <w:rFonts w:hint="eastAsia" w:ascii="仿宋" w:hAnsi="仿宋" w:eastAsia="仿宋"/>
                <w:sz w:val="24"/>
              </w:rPr>
              <w:t>法律英语与法律文化</w:t>
            </w:r>
          </w:p>
        </w:tc>
        <w:tc>
          <w:tcPr>
            <w:tcW w:w="380" w:type="pct"/>
            <w:vAlign w:val="center"/>
          </w:tcPr>
          <w:p w14:paraId="7D68210F">
            <w:pPr>
              <w:widowControl/>
              <w:jc w:val="center"/>
              <w:rPr>
                <w:rFonts w:ascii="仿宋_GB2312" w:hAnsi="仿宋_GB2312" w:eastAsia="仿宋_GB2312" w:cs="仿宋_GB2312"/>
                <w:bCs/>
                <w:color w:val="0000FF"/>
                <w:spacing w:val="20"/>
                <w:sz w:val="21"/>
                <w:szCs w:val="21"/>
              </w:rPr>
            </w:pPr>
            <w:r>
              <w:rPr>
                <w:rFonts w:hint="eastAsia" w:ascii="仿宋" w:hAnsi="仿宋" w:eastAsia="仿宋"/>
                <w:sz w:val="24"/>
              </w:rPr>
              <w:t>2</w:t>
            </w:r>
          </w:p>
        </w:tc>
        <w:tc>
          <w:tcPr>
            <w:tcW w:w="455" w:type="pct"/>
            <w:vAlign w:val="center"/>
          </w:tcPr>
          <w:p w14:paraId="360311AB">
            <w:pPr>
              <w:widowControl/>
              <w:jc w:val="center"/>
              <w:rPr>
                <w:rFonts w:ascii="仿宋_GB2312" w:hAnsi="仿宋_GB2312" w:eastAsia="仿宋_GB2312" w:cs="仿宋_GB2312"/>
                <w:bCs/>
                <w:color w:val="0000FF"/>
                <w:spacing w:val="20"/>
                <w:sz w:val="21"/>
                <w:szCs w:val="21"/>
              </w:rPr>
            </w:pPr>
            <w:r>
              <w:rPr>
                <w:rFonts w:hint="eastAsia" w:ascii="仿宋" w:hAnsi="仿宋" w:eastAsia="仿宋"/>
                <w:sz w:val="24"/>
              </w:rPr>
              <w:t>30</w:t>
            </w:r>
          </w:p>
        </w:tc>
        <w:tc>
          <w:tcPr>
            <w:tcW w:w="380" w:type="pct"/>
            <w:vAlign w:val="center"/>
          </w:tcPr>
          <w:p w14:paraId="13216EC1">
            <w:pPr>
              <w:widowControl/>
              <w:jc w:val="center"/>
              <w:rPr>
                <w:rFonts w:ascii="仿宋_GB2312" w:hAnsi="仿宋_GB2312" w:eastAsia="仿宋_GB2312" w:cs="仿宋_GB2312"/>
                <w:bCs/>
                <w:color w:val="0000FF"/>
                <w:spacing w:val="20"/>
                <w:sz w:val="21"/>
                <w:szCs w:val="21"/>
              </w:rPr>
            </w:pPr>
            <w:r>
              <w:rPr>
                <w:rFonts w:hint="eastAsia" w:ascii="仿宋" w:hAnsi="仿宋" w:eastAsia="仿宋"/>
                <w:sz w:val="24"/>
              </w:rPr>
              <w:t>26</w:t>
            </w:r>
          </w:p>
        </w:tc>
        <w:tc>
          <w:tcPr>
            <w:tcW w:w="380" w:type="pct"/>
            <w:vAlign w:val="center"/>
          </w:tcPr>
          <w:p w14:paraId="1229CE33">
            <w:pPr>
              <w:widowControl/>
              <w:jc w:val="center"/>
              <w:rPr>
                <w:rFonts w:ascii="仿宋_GB2312" w:hAnsi="仿宋_GB2312" w:eastAsia="仿宋_GB2312" w:cs="仿宋_GB2312"/>
                <w:bCs/>
                <w:color w:val="0000FF"/>
                <w:spacing w:val="20"/>
                <w:sz w:val="21"/>
                <w:szCs w:val="21"/>
              </w:rPr>
            </w:pPr>
            <w:r>
              <w:rPr>
                <w:rFonts w:hint="eastAsia" w:ascii="仿宋" w:hAnsi="仿宋" w:eastAsia="仿宋"/>
                <w:sz w:val="24"/>
              </w:rPr>
              <w:t>4</w:t>
            </w:r>
          </w:p>
        </w:tc>
        <w:tc>
          <w:tcPr>
            <w:tcW w:w="380" w:type="pct"/>
            <w:vAlign w:val="center"/>
          </w:tcPr>
          <w:p w14:paraId="5F505447">
            <w:pPr>
              <w:widowControl/>
              <w:jc w:val="center"/>
              <w:rPr>
                <w:rFonts w:ascii="仿宋_GB2312" w:hAnsi="仿宋_GB2312" w:eastAsia="仿宋_GB2312" w:cs="仿宋_GB2312"/>
                <w:bCs/>
                <w:color w:val="0000FF"/>
                <w:spacing w:val="20"/>
                <w:sz w:val="21"/>
                <w:szCs w:val="21"/>
              </w:rPr>
            </w:pPr>
            <w:r>
              <w:rPr>
                <w:rFonts w:ascii="仿宋" w:hAnsi="仿宋" w:eastAsia="仿宋"/>
                <w:sz w:val="24"/>
              </w:rPr>
              <w:t>选修</w:t>
            </w:r>
          </w:p>
        </w:tc>
        <w:tc>
          <w:tcPr>
            <w:tcW w:w="532" w:type="pct"/>
            <w:vAlign w:val="center"/>
          </w:tcPr>
          <w:p w14:paraId="5D162918">
            <w:pPr>
              <w:widowControl/>
              <w:jc w:val="center"/>
              <w:rPr>
                <w:rFonts w:ascii="仿宋_GB2312" w:hAnsi="仿宋_GB2312" w:eastAsia="仿宋_GB2312" w:cs="仿宋_GB2312"/>
                <w:bCs/>
                <w:color w:val="0000FF"/>
                <w:spacing w:val="20"/>
                <w:sz w:val="21"/>
                <w:szCs w:val="21"/>
              </w:rPr>
            </w:pPr>
            <w:r>
              <w:rPr>
                <w:rFonts w:ascii="仿宋" w:hAnsi="仿宋" w:eastAsia="仿宋"/>
                <w:sz w:val="24"/>
              </w:rPr>
              <w:t>考查</w:t>
            </w:r>
          </w:p>
        </w:tc>
        <w:tc>
          <w:tcPr>
            <w:tcW w:w="460" w:type="pct"/>
            <w:vAlign w:val="center"/>
          </w:tcPr>
          <w:p w14:paraId="23C1BD60">
            <w:pPr>
              <w:widowControl/>
              <w:jc w:val="center"/>
              <w:rPr>
                <w:rFonts w:ascii="仿宋_GB2312" w:hAnsi="仿宋_GB2312" w:eastAsia="仿宋_GB2312" w:cs="仿宋_GB2312"/>
                <w:bCs/>
                <w:color w:val="0000FF"/>
                <w:spacing w:val="20"/>
                <w:sz w:val="21"/>
                <w:szCs w:val="21"/>
              </w:rPr>
            </w:pPr>
            <w:r>
              <w:rPr>
                <w:rFonts w:hint="eastAsia" w:ascii="仿宋" w:hAnsi="仿宋" w:eastAsia="仿宋"/>
                <w:sz w:val="24"/>
              </w:rPr>
              <w:t>2、4</w:t>
            </w:r>
          </w:p>
        </w:tc>
      </w:tr>
      <w:tr w14:paraId="6BDA8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2033" w:type="pct"/>
            <w:vAlign w:val="center"/>
          </w:tcPr>
          <w:p w14:paraId="25801A44">
            <w:pPr>
              <w:widowControl/>
              <w:jc w:val="center"/>
              <w:rPr>
                <w:rFonts w:ascii="仿宋_GB2312" w:hAnsi="仿宋_GB2312" w:eastAsia="仿宋_GB2312" w:cs="仿宋_GB2312"/>
                <w:bCs/>
                <w:spacing w:val="20"/>
                <w:sz w:val="21"/>
                <w:szCs w:val="21"/>
              </w:rPr>
            </w:pPr>
            <w:r>
              <w:rPr>
                <w:rFonts w:hint="eastAsia" w:ascii="仿宋" w:hAnsi="仿宋" w:eastAsia="仿宋"/>
                <w:sz w:val="24"/>
              </w:rPr>
              <w:t>涉外民商事法律专题与案例研习</w:t>
            </w:r>
          </w:p>
        </w:tc>
        <w:tc>
          <w:tcPr>
            <w:tcW w:w="380" w:type="pct"/>
            <w:vAlign w:val="center"/>
          </w:tcPr>
          <w:p w14:paraId="56E6768D">
            <w:pPr>
              <w:widowControl/>
              <w:jc w:val="center"/>
              <w:rPr>
                <w:rFonts w:ascii="仿宋_GB2312" w:hAnsi="仿宋_GB2312" w:eastAsia="仿宋_GB2312" w:cs="仿宋_GB2312"/>
                <w:bCs/>
                <w:spacing w:val="20"/>
                <w:sz w:val="21"/>
                <w:szCs w:val="21"/>
              </w:rPr>
            </w:pPr>
            <w:r>
              <w:rPr>
                <w:rFonts w:hint="eastAsia" w:ascii="仿宋" w:hAnsi="仿宋" w:eastAsia="仿宋"/>
                <w:sz w:val="24"/>
              </w:rPr>
              <w:t>2</w:t>
            </w:r>
          </w:p>
        </w:tc>
        <w:tc>
          <w:tcPr>
            <w:tcW w:w="455" w:type="pct"/>
            <w:vAlign w:val="center"/>
          </w:tcPr>
          <w:p w14:paraId="362B1360">
            <w:pPr>
              <w:widowControl/>
              <w:jc w:val="center"/>
              <w:rPr>
                <w:rFonts w:ascii="仿宋_GB2312" w:hAnsi="仿宋_GB2312" w:eastAsia="仿宋_GB2312" w:cs="仿宋_GB2312"/>
                <w:bCs/>
                <w:spacing w:val="20"/>
                <w:sz w:val="21"/>
                <w:szCs w:val="21"/>
              </w:rPr>
            </w:pPr>
            <w:r>
              <w:rPr>
                <w:rFonts w:hint="eastAsia" w:ascii="仿宋" w:hAnsi="仿宋" w:eastAsia="仿宋"/>
                <w:sz w:val="24"/>
              </w:rPr>
              <w:t>30</w:t>
            </w:r>
          </w:p>
        </w:tc>
        <w:tc>
          <w:tcPr>
            <w:tcW w:w="380" w:type="pct"/>
            <w:vAlign w:val="center"/>
          </w:tcPr>
          <w:p w14:paraId="731DB63F">
            <w:pPr>
              <w:widowControl/>
              <w:jc w:val="center"/>
              <w:rPr>
                <w:rFonts w:ascii="仿宋_GB2312" w:hAnsi="仿宋_GB2312" w:eastAsia="仿宋_GB2312" w:cs="仿宋_GB2312"/>
                <w:bCs/>
                <w:spacing w:val="20"/>
                <w:sz w:val="21"/>
                <w:szCs w:val="21"/>
              </w:rPr>
            </w:pPr>
            <w:r>
              <w:rPr>
                <w:rFonts w:hint="eastAsia" w:ascii="仿宋" w:hAnsi="仿宋" w:eastAsia="仿宋"/>
                <w:sz w:val="24"/>
              </w:rPr>
              <w:t>26</w:t>
            </w:r>
          </w:p>
        </w:tc>
        <w:tc>
          <w:tcPr>
            <w:tcW w:w="380" w:type="pct"/>
            <w:vAlign w:val="center"/>
          </w:tcPr>
          <w:p w14:paraId="293596B9">
            <w:pPr>
              <w:widowControl/>
              <w:jc w:val="center"/>
              <w:rPr>
                <w:rFonts w:ascii="仿宋_GB2312" w:hAnsi="仿宋_GB2312" w:eastAsia="仿宋_GB2312" w:cs="仿宋_GB2312"/>
                <w:bCs/>
                <w:spacing w:val="20"/>
                <w:sz w:val="21"/>
                <w:szCs w:val="21"/>
              </w:rPr>
            </w:pPr>
            <w:r>
              <w:rPr>
                <w:rFonts w:hint="eastAsia" w:ascii="仿宋" w:hAnsi="仿宋" w:eastAsia="仿宋"/>
                <w:sz w:val="24"/>
              </w:rPr>
              <w:t>4</w:t>
            </w:r>
          </w:p>
        </w:tc>
        <w:tc>
          <w:tcPr>
            <w:tcW w:w="380" w:type="pct"/>
          </w:tcPr>
          <w:p w14:paraId="76153A76">
            <w:pPr>
              <w:widowControl/>
              <w:jc w:val="center"/>
              <w:rPr>
                <w:rFonts w:ascii="仿宋_GB2312" w:hAnsi="仿宋_GB2312" w:eastAsia="仿宋_GB2312" w:cs="仿宋_GB2312"/>
                <w:bCs/>
                <w:spacing w:val="20"/>
                <w:sz w:val="21"/>
                <w:szCs w:val="21"/>
              </w:rPr>
            </w:pPr>
            <w:r>
              <w:rPr>
                <w:rFonts w:ascii="仿宋" w:hAnsi="仿宋" w:eastAsia="仿宋"/>
                <w:sz w:val="24"/>
              </w:rPr>
              <w:t>选修</w:t>
            </w:r>
          </w:p>
        </w:tc>
        <w:tc>
          <w:tcPr>
            <w:tcW w:w="532" w:type="pct"/>
            <w:vAlign w:val="center"/>
          </w:tcPr>
          <w:p w14:paraId="54350437">
            <w:pPr>
              <w:widowControl/>
              <w:jc w:val="center"/>
              <w:rPr>
                <w:rFonts w:ascii="仿宋_GB2312" w:hAnsi="仿宋_GB2312" w:eastAsia="仿宋_GB2312" w:cs="仿宋_GB2312"/>
                <w:bCs/>
                <w:spacing w:val="20"/>
                <w:sz w:val="21"/>
                <w:szCs w:val="21"/>
              </w:rPr>
            </w:pPr>
            <w:r>
              <w:rPr>
                <w:rFonts w:ascii="仿宋" w:hAnsi="仿宋" w:eastAsia="仿宋"/>
                <w:sz w:val="24"/>
              </w:rPr>
              <w:t>考查</w:t>
            </w:r>
          </w:p>
        </w:tc>
        <w:tc>
          <w:tcPr>
            <w:tcW w:w="460" w:type="pct"/>
            <w:vAlign w:val="center"/>
          </w:tcPr>
          <w:p w14:paraId="709FF17B">
            <w:pPr>
              <w:widowControl/>
              <w:jc w:val="center"/>
              <w:rPr>
                <w:rFonts w:ascii="仿宋_GB2312" w:hAnsi="仿宋_GB2312" w:eastAsia="仿宋_GB2312" w:cs="仿宋_GB2312"/>
                <w:bCs/>
                <w:spacing w:val="20"/>
                <w:sz w:val="21"/>
                <w:szCs w:val="21"/>
              </w:rPr>
            </w:pPr>
            <w:r>
              <w:rPr>
                <w:rFonts w:hint="eastAsia" w:ascii="仿宋" w:hAnsi="仿宋" w:eastAsia="仿宋"/>
                <w:sz w:val="24"/>
              </w:rPr>
              <w:t>2、4</w:t>
            </w:r>
          </w:p>
        </w:tc>
      </w:tr>
      <w:tr w14:paraId="04DA8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2033" w:type="pct"/>
            <w:vAlign w:val="center"/>
          </w:tcPr>
          <w:p w14:paraId="268729B9">
            <w:pPr>
              <w:widowControl/>
              <w:jc w:val="center"/>
              <w:rPr>
                <w:rFonts w:ascii="仿宋_GB2312" w:hAnsi="仿宋_GB2312" w:eastAsia="仿宋_GB2312" w:cs="仿宋_GB2312"/>
                <w:bCs/>
                <w:spacing w:val="20"/>
                <w:sz w:val="21"/>
                <w:szCs w:val="21"/>
              </w:rPr>
            </w:pPr>
            <w:r>
              <w:rPr>
                <w:rFonts w:hint="eastAsia" w:ascii="仿宋" w:hAnsi="仿宋" w:eastAsia="仿宋"/>
                <w:sz w:val="24"/>
              </w:rPr>
              <w:t>国际民事诉讼与商事仲裁</w:t>
            </w:r>
          </w:p>
        </w:tc>
        <w:tc>
          <w:tcPr>
            <w:tcW w:w="380" w:type="pct"/>
            <w:vAlign w:val="center"/>
          </w:tcPr>
          <w:p w14:paraId="548BA10E">
            <w:pPr>
              <w:widowControl/>
              <w:jc w:val="center"/>
              <w:rPr>
                <w:rFonts w:ascii="仿宋_GB2312" w:hAnsi="仿宋_GB2312" w:eastAsia="仿宋_GB2312" w:cs="仿宋_GB2312"/>
                <w:bCs/>
                <w:spacing w:val="20"/>
                <w:sz w:val="21"/>
                <w:szCs w:val="21"/>
              </w:rPr>
            </w:pPr>
            <w:r>
              <w:rPr>
                <w:rFonts w:hint="eastAsia" w:ascii="仿宋" w:hAnsi="仿宋" w:eastAsia="仿宋"/>
                <w:sz w:val="24"/>
              </w:rPr>
              <w:t>2</w:t>
            </w:r>
          </w:p>
        </w:tc>
        <w:tc>
          <w:tcPr>
            <w:tcW w:w="455" w:type="pct"/>
            <w:vAlign w:val="center"/>
          </w:tcPr>
          <w:p w14:paraId="66349D43">
            <w:pPr>
              <w:widowControl/>
              <w:jc w:val="center"/>
              <w:rPr>
                <w:rFonts w:ascii="仿宋_GB2312" w:hAnsi="仿宋_GB2312" w:eastAsia="仿宋_GB2312" w:cs="仿宋_GB2312"/>
                <w:bCs/>
                <w:spacing w:val="20"/>
                <w:sz w:val="21"/>
                <w:szCs w:val="21"/>
              </w:rPr>
            </w:pPr>
            <w:r>
              <w:rPr>
                <w:rFonts w:hint="eastAsia" w:ascii="仿宋" w:hAnsi="仿宋" w:eastAsia="仿宋"/>
                <w:sz w:val="24"/>
              </w:rPr>
              <w:t>30</w:t>
            </w:r>
          </w:p>
        </w:tc>
        <w:tc>
          <w:tcPr>
            <w:tcW w:w="380" w:type="pct"/>
            <w:vAlign w:val="center"/>
          </w:tcPr>
          <w:p w14:paraId="66D337DC">
            <w:pPr>
              <w:widowControl/>
              <w:jc w:val="center"/>
              <w:rPr>
                <w:rFonts w:ascii="仿宋_GB2312" w:hAnsi="仿宋_GB2312" w:eastAsia="仿宋_GB2312" w:cs="仿宋_GB2312"/>
                <w:bCs/>
                <w:spacing w:val="20"/>
                <w:sz w:val="21"/>
                <w:szCs w:val="21"/>
              </w:rPr>
            </w:pPr>
            <w:r>
              <w:rPr>
                <w:rFonts w:hint="eastAsia" w:ascii="仿宋" w:hAnsi="仿宋" w:eastAsia="仿宋"/>
                <w:sz w:val="24"/>
              </w:rPr>
              <w:t>26</w:t>
            </w:r>
          </w:p>
        </w:tc>
        <w:tc>
          <w:tcPr>
            <w:tcW w:w="380" w:type="pct"/>
            <w:vAlign w:val="center"/>
          </w:tcPr>
          <w:p w14:paraId="006F763D">
            <w:pPr>
              <w:widowControl/>
              <w:jc w:val="center"/>
              <w:rPr>
                <w:rFonts w:ascii="仿宋_GB2312" w:hAnsi="仿宋_GB2312" w:eastAsia="仿宋_GB2312" w:cs="仿宋_GB2312"/>
                <w:bCs/>
                <w:spacing w:val="20"/>
                <w:sz w:val="21"/>
                <w:szCs w:val="21"/>
              </w:rPr>
            </w:pPr>
            <w:r>
              <w:rPr>
                <w:rFonts w:hint="eastAsia" w:ascii="仿宋" w:hAnsi="仿宋" w:eastAsia="仿宋"/>
                <w:sz w:val="24"/>
              </w:rPr>
              <w:t>4</w:t>
            </w:r>
          </w:p>
        </w:tc>
        <w:tc>
          <w:tcPr>
            <w:tcW w:w="380" w:type="pct"/>
          </w:tcPr>
          <w:p w14:paraId="42198ADC">
            <w:pPr>
              <w:widowControl/>
              <w:jc w:val="center"/>
              <w:rPr>
                <w:rFonts w:ascii="仿宋_GB2312" w:hAnsi="仿宋_GB2312" w:eastAsia="仿宋_GB2312" w:cs="仿宋_GB2312"/>
                <w:bCs/>
                <w:spacing w:val="20"/>
                <w:sz w:val="21"/>
                <w:szCs w:val="21"/>
              </w:rPr>
            </w:pPr>
            <w:r>
              <w:rPr>
                <w:rFonts w:ascii="仿宋" w:hAnsi="仿宋" w:eastAsia="仿宋"/>
                <w:sz w:val="24"/>
              </w:rPr>
              <w:t>选修</w:t>
            </w:r>
          </w:p>
        </w:tc>
        <w:tc>
          <w:tcPr>
            <w:tcW w:w="532" w:type="pct"/>
            <w:vAlign w:val="center"/>
          </w:tcPr>
          <w:p w14:paraId="3F12BD87">
            <w:pPr>
              <w:widowControl/>
              <w:jc w:val="center"/>
              <w:rPr>
                <w:rFonts w:ascii="仿宋_GB2312" w:hAnsi="仿宋_GB2312" w:eastAsia="仿宋_GB2312" w:cs="仿宋_GB2312"/>
                <w:bCs/>
                <w:spacing w:val="20"/>
                <w:sz w:val="21"/>
                <w:szCs w:val="21"/>
              </w:rPr>
            </w:pPr>
            <w:r>
              <w:rPr>
                <w:rFonts w:ascii="仿宋" w:hAnsi="仿宋" w:eastAsia="仿宋"/>
                <w:sz w:val="24"/>
              </w:rPr>
              <w:t>考查</w:t>
            </w:r>
          </w:p>
        </w:tc>
        <w:tc>
          <w:tcPr>
            <w:tcW w:w="460" w:type="pct"/>
            <w:vAlign w:val="center"/>
          </w:tcPr>
          <w:p w14:paraId="16500E50">
            <w:pPr>
              <w:widowControl/>
              <w:jc w:val="center"/>
              <w:rPr>
                <w:rFonts w:ascii="仿宋_GB2312" w:hAnsi="仿宋_GB2312" w:eastAsia="仿宋_GB2312" w:cs="仿宋_GB2312"/>
                <w:bCs/>
                <w:spacing w:val="20"/>
                <w:sz w:val="21"/>
                <w:szCs w:val="21"/>
              </w:rPr>
            </w:pPr>
            <w:r>
              <w:rPr>
                <w:rFonts w:hint="eastAsia" w:ascii="仿宋" w:hAnsi="仿宋" w:eastAsia="仿宋"/>
                <w:sz w:val="24"/>
              </w:rPr>
              <w:t>3、5</w:t>
            </w:r>
          </w:p>
        </w:tc>
      </w:tr>
      <w:tr w14:paraId="316FD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2033" w:type="pct"/>
            <w:vAlign w:val="center"/>
          </w:tcPr>
          <w:p w14:paraId="2A58396A">
            <w:pPr>
              <w:widowControl/>
              <w:jc w:val="center"/>
              <w:rPr>
                <w:rFonts w:ascii="仿宋_GB2312" w:hAnsi="仿宋_GB2312" w:eastAsia="仿宋_GB2312" w:cs="仿宋_GB2312"/>
                <w:bCs/>
                <w:spacing w:val="20"/>
                <w:sz w:val="21"/>
                <w:szCs w:val="21"/>
              </w:rPr>
            </w:pPr>
            <w:r>
              <w:rPr>
                <w:rFonts w:hint="eastAsia" w:ascii="仿宋" w:hAnsi="仿宋" w:eastAsia="仿宋"/>
                <w:sz w:val="24"/>
              </w:rPr>
              <w:t>英语法律文书写作</w:t>
            </w:r>
          </w:p>
        </w:tc>
        <w:tc>
          <w:tcPr>
            <w:tcW w:w="380" w:type="pct"/>
            <w:vAlign w:val="center"/>
          </w:tcPr>
          <w:p w14:paraId="6C1F856A">
            <w:pPr>
              <w:widowControl/>
              <w:jc w:val="center"/>
              <w:rPr>
                <w:rFonts w:ascii="仿宋_GB2312" w:hAnsi="仿宋_GB2312" w:eastAsia="仿宋_GB2312" w:cs="仿宋_GB2312"/>
                <w:bCs/>
                <w:spacing w:val="20"/>
                <w:sz w:val="21"/>
                <w:szCs w:val="21"/>
              </w:rPr>
            </w:pPr>
            <w:r>
              <w:rPr>
                <w:rFonts w:hint="eastAsia" w:ascii="仿宋" w:hAnsi="仿宋" w:eastAsia="仿宋"/>
                <w:sz w:val="24"/>
              </w:rPr>
              <w:t>2</w:t>
            </w:r>
          </w:p>
        </w:tc>
        <w:tc>
          <w:tcPr>
            <w:tcW w:w="455" w:type="pct"/>
            <w:vAlign w:val="center"/>
          </w:tcPr>
          <w:p w14:paraId="3868E84D">
            <w:pPr>
              <w:widowControl/>
              <w:jc w:val="center"/>
              <w:rPr>
                <w:rFonts w:ascii="仿宋_GB2312" w:hAnsi="仿宋_GB2312" w:eastAsia="仿宋_GB2312" w:cs="仿宋_GB2312"/>
                <w:bCs/>
                <w:spacing w:val="20"/>
                <w:sz w:val="21"/>
                <w:szCs w:val="21"/>
              </w:rPr>
            </w:pPr>
            <w:r>
              <w:rPr>
                <w:rFonts w:hint="eastAsia" w:ascii="仿宋" w:hAnsi="仿宋" w:eastAsia="仿宋"/>
                <w:sz w:val="24"/>
              </w:rPr>
              <w:t>30</w:t>
            </w:r>
          </w:p>
        </w:tc>
        <w:tc>
          <w:tcPr>
            <w:tcW w:w="380" w:type="pct"/>
            <w:vAlign w:val="center"/>
          </w:tcPr>
          <w:p w14:paraId="0372D933">
            <w:pPr>
              <w:widowControl/>
              <w:jc w:val="center"/>
              <w:rPr>
                <w:rFonts w:ascii="仿宋_GB2312" w:hAnsi="仿宋_GB2312" w:eastAsia="仿宋_GB2312" w:cs="仿宋_GB2312"/>
                <w:bCs/>
                <w:spacing w:val="20"/>
                <w:sz w:val="21"/>
                <w:szCs w:val="21"/>
              </w:rPr>
            </w:pPr>
            <w:r>
              <w:rPr>
                <w:rFonts w:hint="eastAsia" w:ascii="仿宋" w:hAnsi="仿宋" w:eastAsia="仿宋"/>
                <w:sz w:val="24"/>
              </w:rPr>
              <w:t>26</w:t>
            </w:r>
          </w:p>
        </w:tc>
        <w:tc>
          <w:tcPr>
            <w:tcW w:w="380" w:type="pct"/>
            <w:vAlign w:val="center"/>
          </w:tcPr>
          <w:p w14:paraId="068A6C6A">
            <w:pPr>
              <w:widowControl/>
              <w:jc w:val="center"/>
              <w:rPr>
                <w:rFonts w:ascii="仿宋_GB2312" w:hAnsi="仿宋_GB2312" w:eastAsia="仿宋_GB2312" w:cs="仿宋_GB2312"/>
                <w:bCs/>
                <w:spacing w:val="20"/>
                <w:sz w:val="21"/>
                <w:szCs w:val="21"/>
              </w:rPr>
            </w:pPr>
            <w:r>
              <w:rPr>
                <w:rFonts w:hint="eastAsia" w:ascii="仿宋" w:hAnsi="仿宋" w:eastAsia="仿宋"/>
                <w:sz w:val="24"/>
              </w:rPr>
              <w:t>4</w:t>
            </w:r>
          </w:p>
        </w:tc>
        <w:tc>
          <w:tcPr>
            <w:tcW w:w="380" w:type="pct"/>
          </w:tcPr>
          <w:p w14:paraId="2F0A46F5">
            <w:pPr>
              <w:widowControl/>
              <w:jc w:val="center"/>
              <w:rPr>
                <w:rFonts w:ascii="仿宋_GB2312" w:hAnsi="仿宋_GB2312" w:eastAsia="仿宋_GB2312" w:cs="仿宋_GB2312"/>
                <w:bCs/>
                <w:spacing w:val="20"/>
                <w:sz w:val="21"/>
                <w:szCs w:val="21"/>
              </w:rPr>
            </w:pPr>
            <w:r>
              <w:rPr>
                <w:rFonts w:ascii="仿宋" w:hAnsi="仿宋" w:eastAsia="仿宋"/>
                <w:sz w:val="24"/>
              </w:rPr>
              <w:t>选修</w:t>
            </w:r>
          </w:p>
        </w:tc>
        <w:tc>
          <w:tcPr>
            <w:tcW w:w="532" w:type="pct"/>
            <w:vAlign w:val="center"/>
          </w:tcPr>
          <w:p w14:paraId="6B049A56">
            <w:pPr>
              <w:widowControl/>
              <w:jc w:val="center"/>
              <w:rPr>
                <w:rFonts w:ascii="仿宋_GB2312" w:hAnsi="仿宋_GB2312" w:eastAsia="仿宋_GB2312" w:cs="仿宋_GB2312"/>
                <w:bCs/>
                <w:spacing w:val="20"/>
                <w:sz w:val="21"/>
                <w:szCs w:val="21"/>
              </w:rPr>
            </w:pPr>
            <w:r>
              <w:rPr>
                <w:rFonts w:ascii="仿宋" w:hAnsi="仿宋" w:eastAsia="仿宋"/>
                <w:sz w:val="24"/>
              </w:rPr>
              <w:t>考查</w:t>
            </w:r>
          </w:p>
        </w:tc>
        <w:tc>
          <w:tcPr>
            <w:tcW w:w="460" w:type="pct"/>
          </w:tcPr>
          <w:p w14:paraId="43845839">
            <w:pPr>
              <w:widowControl/>
              <w:jc w:val="center"/>
              <w:rPr>
                <w:rFonts w:ascii="仿宋_GB2312" w:hAnsi="仿宋_GB2312" w:eastAsia="仿宋_GB2312" w:cs="仿宋_GB2312"/>
                <w:bCs/>
                <w:spacing w:val="20"/>
                <w:sz w:val="21"/>
                <w:szCs w:val="21"/>
              </w:rPr>
            </w:pPr>
            <w:r>
              <w:rPr>
                <w:rFonts w:hint="eastAsia" w:ascii="仿宋" w:hAnsi="仿宋" w:eastAsia="仿宋"/>
                <w:sz w:val="24"/>
              </w:rPr>
              <w:t>3、5</w:t>
            </w:r>
          </w:p>
        </w:tc>
      </w:tr>
      <w:tr w14:paraId="527D6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2033" w:type="pct"/>
            <w:vAlign w:val="center"/>
          </w:tcPr>
          <w:p w14:paraId="03CBDEBC">
            <w:pPr>
              <w:widowControl/>
              <w:jc w:val="center"/>
              <w:rPr>
                <w:rFonts w:ascii="仿宋_GB2312" w:hAnsi="仿宋_GB2312" w:eastAsia="仿宋_GB2312" w:cs="仿宋_GB2312"/>
                <w:bCs/>
                <w:spacing w:val="20"/>
                <w:sz w:val="21"/>
                <w:szCs w:val="21"/>
              </w:rPr>
            </w:pPr>
            <w:r>
              <w:rPr>
                <w:rFonts w:hint="eastAsia" w:ascii="仿宋" w:hAnsi="仿宋" w:eastAsia="仿宋"/>
                <w:sz w:val="24"/>
              </w:rPr>
              <w:t>国际法基础理论与实务拓展</w:t>
            </w:r>
          </w:p>
        </w:tc>
        <w:tc>
          <w:tcPr>
            <w:tcW w:w="380" w:type="pct"/>
            <w:vAlign w:val="center"/>
          </w:tcPr>
          <w:p w14:paraId="2CA59031">
            <w:pPr>
              <w:widowControl/>
              <w:jc w:val="center"/>
              <w:rPr>
                <w:rFonts w:ascii="仿宋_GB2312" w:hAnsi="仿宋_GB2312" w:eastAsia="仿宋_GB2312" w:cs="仿宋_GB2312"/>
                <w:bCs/>
                <w:spacing w:val="20"/>
                <w:sz w:val="21"/>
                <w:szCs w:val="21"/>
              </w:rPr>
            </w:pPr>
            <w:r>
              <w:rPr>
                <w:rFonts w:hint="eastAsia" w:ascii="仿宋" w:hAnsi="仿宋" w:eastAsia="仿宋"/>
                <w:sz w:val="24"/>
              </w:rPr>
              <w:t>2</w:t>
            </w:r>
          </w:p>
        </w:tc>
        <w:tc>
          <w:tcPr>
            <w:tcW w:w="455" w:type="pct"/>
            <w:vAlign w:val="center"/>
          </w:tcPr>
          <w:p w14:paraId="683D8EFF">
            <w:pPr>
              <w:widowControl/>
              <w:jc w:val="center"/>
              <w:rPr>
                <w:rFonts w:ascii="仿宋_GB2312" w:hAnsi="仿宋_GB2312" w:eastAsia="仿宋_GB2312" w:cs="仿宋_GB2312"/>
                <w:bCs/>
                <w:spacing w:val="20"/>
                <w:sz w:val="21"/>
                <w:szCs w:val="21"/>
              </w:rPr>
            </w:pPr>
            <w:r>
              <w:rPr>
                <w:rFonts w:hint="eastAsia" w:ascii="仿宋" w:hAnsi="仿宋" w:eastAsia="仿宋"/>
                <w:sz w:val="24"/>
              </w:rPr>
              <w:t>30</w:t>
            </w:r>
          </w:p>
        </w:tc>
        <w:tc>
          <w:tcPr>
            <w:tcW w:w="380" w:type="pct"/>
            <w:vAlign w:val="center"/>
          </w:tcPr>
          <w:p w14:paraId="1D9885B9">
            <w:pPr>
              <w:widowControl/>
              <w:jc w:val="center"/>
              <w:rPr>
                <w:rFonts w:ascii="仿宋_GB2312" w:hAnsi="仿宋_GB2312" w:eastAsia="仿宋_GB2312" w:cs="仿宋_GB2312"/>
                <w:bCs/>
                <w:spacing w:val="20"/>
                <w:sz w:val="21"/>
                <w:szCs w:val="21"/>
              </w:rPr>
            </w:pPr>
            <w:r>
              <w:rPr>
                <w:rFonts w:hint="eastAsia" w:ascii="仿宋" w:hAnsi="仿宋" w:eastAsia="仿宋"/>
                <w:sz w:val="24"/>
              </w:rPr>
              <w:t>26</w:t>
            </w:r>
          </w:p>
        </w:tc>
        <w:tc>
          <w:tcPr>
            <w:tcW w:w="380" w:type="pct"/>
            <w:vAlign w:val="center"/>
          </w:tcPr>
          <w:p w14:paraId="7FEE2C63">
            <w:pPr>
              <w:widowControl/>
              <w:jc w:val="center"/>
              <w:rPr>
                <w:rFonts w:ascii="仿宋_GB2312" w:hAnsi="仿宋_GB2312" w:eastAsia="仿宋_GB2312" w:cs="仿宋_GB2312"/>
                <w:bCs/>
                <w:spacing w:val="20"/>
                <w:sz w:val="21"/>
                <w:szCs w:val="21"/>
              </w:rPr>
            </w:pPr>
            <w:r>
              <w:rPr>
                <w:rFonts w:hint="eastAsia" w:ascii="仿宋" w:hAnsi="仿宋" w:eastAsia="仿宋"/>
                <w:sz w:val="24"/>
              </w:rPr>
              <w:t>4</w:t>
            </w:r>
          </w:p>
        </w:tc>
        <w:tc>
          <w:tcPr>
            <w:tcW w:w="380" w:type="pct"/>
          </w:tcPr>
          <w:p w14:paraId="3C43D818">
            <w:pPr>
              <w:widowControl/>
              <w:jc w:val="center"/>
              <w:rPr>
                <w:rFonts w:ascii="仿宋_GB2312" w:hAnsi="仿宋_GB2312" w:eastAsia="仿宋_GB2312" w:cs="仿宋_GB2312"/>
                <w:bCs/>
                <w:spacing w:val="20"/>
                <w:sz w:val="21"/>
                <w:szCs w:val="21"/>
              </w:rPr>
            </w:pPr>
            <w:r>
              <w:rPr>
                <w:rFonts w:ascii="仿宋" w:hAnsi="仿宋" w:eastAsia="仿宋"/>
                <w:sz w:val="24"/>
              </w:rPr>
              <w:t>选修</w:t>
            </w:r>
          </w:p>
        </w:tc>
        <w:tc>
          <w:tcPr>
            <w:tcW w:w="532" w:type="pct"/>
            <w:vAlign w:val="center"/>
          </w:tcPr>
          <w:p w14:paraId="04FF633B">
            <w:pPr>
              <w:widowControl/>
              <w:jc w:val="center"/>
              <w:rPr>
                <w:rFonts w:ascii="仿宋_GB2312" w:hAnsi="仿宋_GB2312" w:eastAsia="仿宋_GB2312" w:cs="仿宋_GB2312"/>
                <w:bCs/>
                <w:spacing w:val="20"/>
                <w:sz w:val="21"/>
                <w:szCs w:val="21"/>
              </w:rPr>
            </w:pPr>
            <w:r>
              <w:rPr>
                <w:rFonts w:ascii="仿宋" w:hAnsi="仿宋" w:eastAsia="仿宋"/>
                <w:sz w:val="24"/>
              </w:rPr>
              <w:t>考查</w:t>
            </w:r>
          </w:p>
        </w:tc>
        <w:tc>
          <w:tcPr>
            <w:tcW w:w="460" w:type="pct"/>
          </w:tcPr>
          <w:p w14:paraId="494484CE">
            <w:pPr>
              <w:widowControl/>
              <w:jc w:val="center"/>
              <w:rPr>
                <w:rFonts w:ascii="仿宋_GB2312" w:hAnsi="仿宋_GB2312" w:eastAsia="仿宋_GB2312" w:cs="仿宋_GB2312"/>
                <w:bCs/>
                <w:spacing w:val="20"/>
                <w:sz w:val="21"/>
                <w:szCs w:val="21"/>
              </w:rPr>
            </w:pPr>
            <w:r>
              <w:rPr>
                <w:rFonts w:hint="eastAsia" w:ascii="仿宋" w:hAnsi="仿宋" w:eastAsia="仿宋"/>
                <w:sz w:val="24"/>
              </w:rPr>
              <w:t>3、5</w:t>
            </w:r>
          </w:p>
        </w:tc>
      </w:tr>
      <w:tr w14:paraId="5419A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033" w:type="pct"/>
            <w:tcBorders>
              <w:bottom w:val="single" w:color="auto" w:sz="4" w:space="0"/>
            </w:tcBorders>
            <w:vAlign w:val="center"/>
          </w:tcPr>
          <w:p w14:paraId="2AAA3248">
            <w:pPr>
              <w:widowControl/>
              <w:jc w:val="center"/>
              <w:rPr>
                <w:rFonts w:ascii="仿宋_GB2312" w:hAnsi="仿宋_GB2312" w:eastAsia="仿宋_GB2312" w:cs="仿宋_GB2312"/>
                <w:bCs/>
                <w:spacing w:val="20"/>
                <w:sz w:val="21"/>
                <w:szCs w:val="21"/>
              </w:rPr>
            </w:pPr>
            <w:r>
              <w:rPr>
                <w:rFonts w:hint="eastAsia" w:ascii="仿宋_GB2312" w:hAnsi="仿宋_GB2312" w:eastAsia="仿宋_GB2312" w:cs="仿宋_GB2312"/>
                <w:bCs/>
                <w:spacing w:val="20"/>
                <w:sz w:val="21"/>
                <w:szCs w:val="21"/>
              </w:rPr>
              <w:t>合计</w:t>
            </w:r>
          </w:p>
        </w:tc>
        <w:tc>
          <w:tcPr>
            <w:tcW w:w="380" w:type="pct"/>
            <w:tcBorders>
              <w:bottom w:val="single" w:color="auto" w:sz="4" w:space="0"/>
            </w:tcBorders>
            <w:vAlign w:val="center"/>
          </w:tcPr>
          <w:p w14:paraId="28508F0D">
            <w:pPr>
              <w:widowControl/>
              <w:jc w:val="center"/>
              <w:rPr>
                <w:rFonts w:ascii="仿宋_GB2312" w:hAnsi="仿宋_GB2312" w:eastAsia="仿宋_GB2312" w:cs="仿宋_GB2312"/>
                <w:bCs/>
                <w:spacing w:val="20"/>
                <w:sz w:val="21"/>
                <w:szCs w:val="21"/>
              </w:rPr>
            </w:pPr>
            <w:r>
              <w:rPr>
                <w:rFonts w:hint="eastAsia" w:ascii="仿宋_GB2312" w:hAnsi="仿宋_GB2312" w:eastAsia="仿宋_GB2312" w:cs="仿宋_GB2312"/>
                <w:bCs/>
                <w:spacing w:val="20"/>
                <w:sz w:val="21"/>
                <w:szCs w:val="21"/>
              </w:rPr>
              <w:t>10</w:t>
            </w:r>
          </w:p>
        </w:tc>
        <w:tc>
          <w:tcPr>
            <w:tcW w:w="455" w:type="pct"/>
            <w:tcBorders>
              <w:bottom w:val="single" w:color="auto" w:sz="4" w:space="0"/>
            </w:tcBorders>
            <w:vAlign w:val="center"/>
          </w:tcPr>
          <w:p w14:paraId="6B1D101D">
            <w:pPr>
              <w:widowControl/>
              <w:jc w:val="center"/>
              <w:rPr>
                <w:rFonts w:ascii="仿宋_GB2312" w:hAnsi="仿宋_GB2312" w:eastAsia="仿宋_GB2312" w:cs="仿宋_GB2312"/>
                <w:bCs/>
                <w:spacing w:val="20"/>
                <w:sz w:val="21"/>
                <w:szCs w:val="21"/>
              </w:rPr>
            </w:pPr>
            <w:r>
              <w:rPr>
                <w:rFonts w:hint="eastAsia" w:ascii="仿宋_GB2312" w:hAnsi="仿宋_GB2312" w:eastAsia="仿宋_GB2312" w:cs="仿宋_GB2312"/>
                <w:bCs/>
                <w:spacing w:val="20"/>
                <w:sz w:val="21"/>
                <w:szCs w:val="21"/>
              </w:rPr>
              <w:t>150</w:t>
            </w:r>
          </w:p>
        </w:tc>
        <w:tc>
          <w:tcPr>
            <w:tcW w:w="380" w:type="pct"/>
            <w:tcBorders>
              <w:bottom w:val="single" w:color="auto" w:sz="4" w:space="0"/>
            </w:tcBorders>
            <w:vAlign w:val="center"/>
          </w:tcPr>
          <w:p w14:paraId="0657AF29">
            <w:pPr>
              <w:widowControl/>
              <w:jc w:val="center"/>
              <w:rPr>
                <w:rFonts w:ascii="仿宋_GB2312" w:hAnsi="仿宋_GB2312" w:eastAsia="仿宋_GB2312" w:cs="仿宋_GB2312"/>
                <w:bCs/>
                <w:spacing w:val="20"/>
                <w:sz w:val="21"/>
                <w:szCs w:val="21"/>
              </w:rPr>
            </w:pPr>
            <w:r>
              <w:rPr>
                <w:rFonts w:hint="eastAsia" w:ascii="仿宋_GB2312" w:hAnsi="仿宋_GB2312" w:eastAsia="仿宋_GB2312" w:cs="仿宋_GB2312"/>
                <w:bCs/>
                <w:spacing w:val="20"/>
                <w:sz w:val="21"/>
                <w:szCs w:val="21"/>
              </w:rPr>
              <w:t>130</w:t>
            </w:r>
          </w:p>
        </w:tc>
        <w:tc>
          <w:tcPr>
            <w:tcW w:w="380" w:type="pct"/>
            <w:tcBorders>
              <w:bottom w:val="single" w:color="auto" w:sz="4" w:space="0"/>
            </w:tcBorders>
            <w:vAlign w:val="center"/>
          </w:tcPr>
          <w:p w14:paraId="040431FB">
            <w:pPr>
              <w:widowControl/>
              <w:jc w:val="center"/>
              <w:rPr>
                <w:rFonts w:ascii="仿宋_GB2312" w:hAnsi="仿宋_GB2312" w:eastAsia="仿宋_GB2312" w:cs="仿宋_GB2312"/>
                <w:bCs/>
                <w:spacing w:val="20"/>
                <w:sz w:val="21"/>
                <w:szCs w:val="21"/>
              </w:rPr>
            </w:pPr>
            <w:r>
              <w:rPr>
                <w:rFonts w:hint="eastAsia" w:ascii="仿宋_GB2312" w:hAnsi="仿宋_GB2312" w:eastAsia="仿宋_GB2312" w:cs="仿宋_GB2312"/>
                <w:bCs/>
                <w:spacing w:val="20"/>
                <w:sz w:val="21"/>
                <w:szCs w:val="21"/>
              </w:rPr>
              <w:t>20</w:t>
            </w:r>
          </w:p>
        </w:tc>
        <w:tc>
          <w:tcPr>
            <w:tcW w:w="380" w:type="pct"/>
            <w:tcBorders>
              <w:bottom w:val="single" w:color="auto" w:sz="4" w:space="0"/>
            </w:tcBorders>
          </w:tcPr>
          <w:p w14:paraId="2AC874A4">
            <w:pPr>
              <w:widowControl/>
              <w:jc w:val="center"/>
              <w:rPr>
                <w:rFonts w:ascii="仿宋_GB2312" w:hAnsi="仿宋_GB2312" w:eastAsia="仿宋_GB2312" w:cs="仿宋_GB2312"/>
                <w:bCs/>
                <w:spacing w:val="20"/>
                <w:sz w:val="21"/>
                <w:szCs w:val="21"/>
              </w:rPr>
            </w:pPr>
          </w:p>
        </w:tc>
        <w:tc>
          <w:tcPr>
            <w:tcW w:w="532" w:type="pct"/>
            <w:tcBorders>
              <w:bottom w:val="single" w:color="auto" w:sz="4" w:space="0"/>
            </w:tcBorders>
            <w:vAlign w:val="center"/>
          </w:tcPr>
          <w:p w14:paraId="3E23AD51">
            <w:pPr>
              <w:widowControl/>
              <w:jc w:val="center"/>
              <w:rPr>
                <w:rFonts w:ascii="仿宋_GB2312" w:hAnsi="仿宋_GB2312" w:eastAsia="仿宋_GB2312" w:cs="仿宋_GB2312"/>
                <w:bCs/>
                <w:spacing w:val="20"/>
                <w:sz w:val="21"/>
                <w:szCs w:val="21"/>
              </w:rPr>
            </w:pPr>
          </w:p>
        </w:tc>
        <w:tc>
          <w:tcPr>
            <w:tcW w:w="460" w:type="pct"/>
            <w:tcBorders>
              <w:bottom w:val="single" w:color="auto" w:sz="4" w:space="0"/>
            </w:tcBorders>
            <w:vAlign w:val="center"/>
          </w:tcPr>
          <w:p w14:paraId="62A966E6">
            <w:pPr>
              <w:widowControl/>
              <w:jc w:val="center"/>
              <w:rPr>
                <w:rFonts w:ascii="仿宋_GB2312" w:hAnsi="仿宋_GB2312" w:eastAsia="仿宋_GB2312" w:cs="仿宋_GB2312"/>
                <w:bCs/>
                <w:spacing w:val="20"/>
                <w:sz w:val="21"/>
                <w:szCs w:val="21"/>
              </w:rPr>
            </w:pPr>
            <w:r>
              <w:rPr>
                <w:rFonts w:hint="eastAsia" w:ascii="仿宋_GB2312" w:hAnsi="仿宋_GB2312" w:eastAsia="仿宋_GB2312" w:cs="仿宋_GB2312"/>
                <w:bCs/>
                <w:spacing w:val="20"/>
                <w:sz w:val="21"/>
                <w:szCs w:val="21"/>
              </w:rPr>
              <w:t>-</w:t>
            </w:r>
          </w:p>
        </w:tc>
      </w:tr>
    </w:tbl>
    <w:p w14:paraId="4C48391D">
      <w:pPr>
        <w:widowControl/>
        <w:spacing w:line="360" w:lineRule="auto"/>
        <w:ind w:firstLine="523" w:firstLineChars="187"/>
        <w:jc w:val="left"/>
        <w:rPr>
          <w:rFonts w:ascii="黑体" w:hAnsi="黑体" w:eastAsia="黑体" w:cs="黑体"/>
          <w:bCs/>
          <w:sz w:val="28"/>
          <w:szCs w:val="28"/>
        </w:rPr>
      </w:pPr>
    </w:p>
    <w:p w14:paraId="1C9C6B86">
      <w:pPr>
        <w:widowControl/>
        <w:spacing w:line="360" w:lineRule="auto"/>
        <w:ind w:firstLine="523" w:firstLineChars="187"/>
        <w:jc w:val="left"/>
        <w:rPr>
          <w:rFonts w:ascii="黑体" w:hAnsi="黑体" w:eastAsia="黑体" w:cs="黑体"/>
          <w:bCs/>
          <w:sz w:val="28"/>
          <w:szCs w:val="28"/>
        </w:rPr>
      </w:pPr>
      <w:r>
        <w:rPr>
          <w:rFonts w:hint="eastAsia" w:ascii="黑体" w:hAnsi="黑体" w:eastAsia="黑体" w:cs="黑体"/>
          <w:bCs/>
          <w:sz w:val="28"/>
          <w:szCs w:val="28"/>
        </w:rPr>
        <w:t>六、课程简介</w:t>
      </w:r>
    </w:p>
    <w:tbl>
      <w:tblPr>
        <w:tblStyle w:val="2"/>
        <w:tblW w:w="91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0"/>
        <w:gridCol w:w="2118"/>
        <w:gridCol w:w="5922"/>
      </w:tblGrid>
      <w:tr w14:paraId="29537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110" w:type="dxa"/>
            <w:tcBorders>
              <w:top w:val="single" w:color="auto" w:sz="4" w:space="0"/>
            </w:tcBorders>
            <w:vAlign w:val="center"/>
          </w:tcPr>
          <w:p w14:paraId="23FABFF7">
            <w:pPr>
              <w:widowControl/>
              <w:jc w:val="center"/>
              <w:rPr>
                <w:rFonts w:ascii="黑体" w:hAnsi="黑体" w:eastAsia="黑体" w:cs="黑体"/>
                <w:bCs/>
                <w:spacing w:val="20"/>
                <w:sz w:val="21"/>
                <w:szCs w:val="21"/>
              </w:rPr>
            </w:pPr>
            <w:r>
              <w:rPr>
                <w:rFonts w:hint="eastAsia" w:ascii="黑体" w:hAnsi="黑体" w:eastAsia="黑体" w:cs="黑体"/>
                <w:bCs/>
                <w:spacing w:val="20"/>
                <w:sz w:val="21"/>
                <w:szCs w:val="21"/>
              </w:rPr>
              <w:t>序号</w:t>
            </w:r>
          </w:p>
        </w:tc>
        <w:tc>
          <w:tcPr>
            <w:tcW w:w="2118" w:type="dxa"/>
            <w:tcBorders>
              <w:top w:val="single" w:color="auto" w:sz="4" w:space="0"/>
            </w:tcBorders>
            <w:vAlign w:val="center"/>
          </w:tcPr>
          <w:p w14:paraId="5300F9AD">
            <w:pPr>
              <w:widowControl/>
              <w:jc w:val="center"/>
              <w:rPr>
                <w:rFonts w:ascii="黑体" w:hAnsi="黑体" w:eastAsia="黑体" w:cs="黑体"/>
                <w:bCs/>
                <w:spacing w:val="20"/>
                <w:sz w:val="21"/>
                <w:szCs w:val="21"/>
              </w:rPr>
            </w:pPr>
            <w:r>
              <w:rPr>
                <w:rFonts w:hint="eastAsia" w:ascii="黑体" w:hAnsi="黑体" w:eastAsia="黑体" w:cs="黑体"/>
                <w:bCs/>
                <w:spacing w:val="20"/>
                <w:sz w:val="21"/>
                <w:szCs w:val="21"/>
              </w:rPr>
              <w:t>课程名称</w:t>
            </w:r>
          </w:p>
        </w:tc>
        <w:tc>
          <w:tcPr>
            <w:tcW w:w="5922" w:type="dxa"/>
            <w:tcBorders>
              <w:top w:val="single" w:color="auto" w:sz="4" w:space="0"/>
              <w:bottom w:val="single" w:color="auto" w:sz="4" w:space="0"/>
            </w:tcBorders>
            <w:vAlign w:val="center"/>
          </w:tcPr>
          <w:p w14:paraId="005B8980">
            <w:pPr>
              <w:widowControl/>
              <w:jc w:val="center"/>
              <w:rPr>
                <w:rFonts w:ascii="黑体" w:hAnsi="黑体" w:eastAsia="黑体" w:cs="黑体"/>
                <w:bCs/>
                <w:sz w:val="21"/>
                <w:szCs w:val="21"/>
              </w:rPr>
            </w:pPr>
            <w:r>
              <w:rPr>
                <w:rFonts w:hint="eastAsia" w:ascii="黑体" w:hAnsi="黑体" w:eastAsia="黑体" w:cs="黑体"/>
                <w:bCs/>
                <w:spacing w:val="20"/>
                <w:sz w:val="21"/>
                <w:szCs w:val="21"/>
              </w:rPr>
              <w:t>课程简介</w:t>
            </w:r>
          </w:p>
        </w:tc>
      </w:tr>
      <w:tr w14:paraId="094E3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8" w:hRule="exact"/>
          <w:jc w:val="center"/>
        </w:trPr>
        <w:tc>
          <w:tcPr>
            <w:tcW w:w="1110" w:type="dxa"/>
            <w:vAlign w:val="center"/>
          </w:tcPr>
          <w:p w14:paraId="05C72216">
            <w:pPr>
              <w:widowControl/>
              <w:spacing w:line="360" w:lineRule="auto"/>
              <w:jc w:val="center"/>
              <w:rPr>
                <w:rFonts w:ascii="仿宋" w:hAnsi="仿宋" w:eastAsia="仿宋" w:cs="仿宋_GB2312"/>
                <w:bCs/>
                <w:sz w:val="24"/>
                <w:szCs w:val="24"/>
              </w:rPr>
            </w:pPr>
            <w:r>
              <w:rPr>
                <w:rFonts w:hint="eastAsia" w:ascii="仿宋" w:hAnsi="仿宋" w:eastAsia="仿宋" w:cs="仿宋_GB2312"/>
                <w:bCs/>
                <w:sz w:val="24"/>
                <w:szCs w:val="24"/>
              </w:rPr>
              <w:t>1</w:t>
            </w:r>
          </w:p>
        </w:tc>
        <w:tc>
          <w:tcPr>
            <w:tcW w:w="2118" w:type="dxa"/>
            <w:vAlign w:val="center"/>
          </w:tcPr>
          <w:p w14:paraId="7CB97DB7">
            <w:pPr>
              <w:widowControl/>
              <w:spacing w:line="360" w:lineRule="auto"/>
              <w:jc w:val="left"/>
              <w:rPr>
                <w:rFonts w:ascii="仿宋" w:hAnsi="仿宋" w:eastAsia="仿宋" w:cs="仿宋_GB2312"/>
                <w:bCs/>
                <w:sz w:val="24"/>
                <w:szCs w:val="24"/>
              </w:rPr>
            </w:pPr>
            <w:r>
              <w:rPr>
                <w:rFonts w:hint="eastAsia" w:ascii="仿宋" w:hAnsi="仿宋" w:eastAsia="仿宋"/>
                <w:bCs/>
                <w:sz w:val="24"/>
                <w:szCs w:val="24"/>
              </w:rPr>
              <w:t>法律英语与法律文化</w:t>
            </w:r>
          </w:p>
        </w:tc>
        <w:tc>
          <w:tcPr>
            <w:tcW w:w="5922" w:type="dxa"/>
            <w:tcBorders>
              <w:top w:val="single" w:color="auto" w:sz="4" w:space="0"/>
              <w:bottom w:val="single" w:color="auto" w:sz="4" w:space="0"/>
            </w:tcBorders>
            <w:vAlign w:val="center"/>
          </w:tcPr>
          <w:p w14:paraId="1369234F">
            <w:pPr>
              <w:widowControl/>
              <w:spacing w:line="360" w:lineRule="auto"/>
              <w:jc w:val="left"/>
              <w:rPr>
                <w:rFonts w:ascii="仿宋" w:hAnsi="仿宋" w:eastAsia="仿宋" w:cs="仿宋_GB2312"/>
                <w:bCs/>
                <w:sz w:val="24"/>
                <w:szCs w:val="24"/>
              </w:rPr>
            </w:pPr>
            <w:r>
              <w:rPr>
                <w:rFonts w:hint="eastAsia" w:ascii="仿宋" w:hAnsi="仿宋" w:eastAsia="仿宋"/>
                <w:bCs/>
                <w:sz w:val="24"/>
                <w:szCs w:val="24"/>
              </w:rPr>
              <w:t>本</w:t>
            </w:r>
            <w:r>
              <w:rPr>
                <w:rFonts w:hint="eastAsia" w:ascii="仿宋" w:hAnsi="仿宋" w:eastAsia="仿宋"/>
                <w:sz w:val="24"/>
                <w:szCs w:val="24"/>
              </w:rPr>
              <w:t>课程以英美法为教学核心内容,包括英语法律术语、英美法系与大陆法系的比较、英美律师职业介绍、英美主要部门法、英美法案例研读。教学目的旨在培养和提高在法律领域里应用英语的能力。在教师的指导下，通过阅读一些精选的法律类英语文章掌握法学基本概念和基本理论以及专业术语。在教学过程中着重于扩大专业词汇量，提高法学专业英语阅读理解水平。</w:t>
            </w:r>
          </w:p>
        </w:tc>
      </w:tr>
      <w:tr w14:paraId="46D80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4" w:hRule="exact"/>
          <w:jc w:val="center"/>
        </w:trPr>
        <w:tc>
          <w:tcPr>
            <w:tcW w:w="1110" w:type="dxa"/>
            <w:vAlign w:val="center"/>
          </w:tcPr>
          <w:p w14:paraId="6F56B075">
            <w:pPr>
              <w:widowControl/>
              <w:spacing w:line="360" w:lineRule="auto"/>
              <w:jc w:val="center"/>
              <w:rPr>
                <w:rFonts w:ascii="仿宋" w:hAnsi="仿宋" w:eastAsia="仿宋" w:cs="仿宋_GB2312"/>
                <w:bCs/>
                <w:sz w:val="24"/>
                <w:szCs w:val="24"/>
              </w:rPr>
            </w:pPr>
            <w:r>
              <w:rPr>
                <w:rFonts w:hint="eastAsia" w:ascii="仿宋" w:hAnsi="仿宋" w:eastAsia="仿宋" w:cs="仿宋_GB2312"/>
                <w:bCs/>
                <w:sz w:val="24"/>
                <w:szCs w:val="24"/>
              </w:rPr>
              <w:t>2</w:t>
            </w:r>
          </w:p>
        </w:tc>
        <w:tc>
          <w:tcPr>
            <w:tcW w:w="2118" w:type="dxa"/>
            <w:vAlign w:val="center"/>
          </w:tcPr>
          <w:p w14:paraId="2C428520">
            <w:pPr>
              <w:widowControl/>
              <w:spacing w:line="360" w:lineRule="auto"/>
              <w:jc w:val="left"/>
              <w:rPr>
                <w:rFonts w:ascii="仿宋" w:hAnsi="仿宋" w:eastAsia="仿宋" w:cs="仿宋_GB2312"/>
                <w:bCs/>
                <w:sz w:val="24"/>
                <w:szCs w:val="24"/>
              </w:rPr>
            </w:pPr>
            <w:r>
              <w:rPr>
                <w:rFonts w:hint="eastAsia" w:ascii="仿宋" w:hAnsi="仿宋" w:eastAsia="仿宋"/>
                <w:bCs/>
                <w:sz w:val="24"/>
                <w:szCs w:val="24"/>
              </w:rPr>
              <w:t>涉外</w:t>
            </w:r>
            <w:r>
              <w:rPr>
                <w:rFonts w:hint="eastAsia" w:ascii="仿宋" w:hAnsi="仿宋" w:eastAsia="仿宋" w:cs="宋体"/>
                <w:bCs/>
                <w:sz w:val="24"/>
                <w:szCs w:val="24"/>
              </w:rPr>
              <w:t>民</w:t>
            </w:r>
            <w:r>
              <w:rPr>
                <w:rFonts w:hint="eastAsia" w:ascii="仿宋" w:hAnsi="仿宋" w:eastAsia="仿宋"/>
                <w:bCs/>
                <w:sz w:val="24"/>
                <w:szCs w:val="24"/>
              </w:rPr>
              <w:t>商事法律专题与案例研习</w:t>
            </w:r>
          </w:p>
        </w:tc>
        <w:tc>
          <w:tcPr>
            <w:tcW w:w="5922" w:type="dxa"/>
            <w:tcBorders>
              <w:top w:val="single" w:color="auto" w:sz="4" w:space="0"/>
              <w:bottom w:val="single" w:color="auto" w:sz="4" w:space="0"/>
            </w:tcBorders>
            <w:vAlign w:val="center"/>
          </w:tcPr>
          <w:p w14:paraId="389BF047">
            <w:pPr>
              <w:widowControl/>
              <w:spacing w:line="360" w:lineRule="auto"/>
              <w:jc w:val="left"/>
              <w:rPr>
                <w:rFonts w:ascii="仿宋" w:hAnsi="仿宋" w:eastAsia="仿宋" w:cs="仿宋_GB2312"/>
                <w:bCs/>
                <w:sz w:val="24"/>
                <w:szCs w:val="24"/>
              </w:rPr>
            </w:pPr>
            <w:r>
              <w:rPr>
                <w:rFonts w:hint="eastAsia" w:ascii="仿宋" w:hAnsi="仿宋" w:eastAsia="仿宋" w:cs="宋体"/>
                <w:sz w:val="24"/>
                <w:szCs w:val="24"/>
              </w:rPr>
              <w:t>本课程是一门专门研究国际间民商事活动过程中产生的和民事主体、商事组织之间权利义务关系的课程，也是一门实践性很强的综合性应用课程。本课程的主要任务是针对涉外民商事活动的特点和要求，分析研究涉外民商事活动过程中涉及的各种法律关系和法律问题，总结国际、国内有关国际民商事活动的法律理论和判例的经验，为学生从事涉外民商事活动奠定必要的法律知识基础和合理的法律知识结构。</w:t>
            </w:r>
          </w:p>
        </w:tc>
      </w:tr>
      <w:tr w14:paraId="07878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6" w:hRule="exact"/>
          <w:jc w:val="center"/>
        </w:trPr>
        <w:tc>
          <w:tcPr>
            <w:tcW w:w="1110" w:type="dxa"/>
            <w:vAlign w:val="center"/>
          </w:tcPr>
          <w:p w14:paraId="0BEF1DD9">
            <w:pPr>
              <w:widowControl/>
              <w:spacing w:line="360" w:lineRule="auto"/>
              <w:jc w:val="center"/>
              <w:rPr>
                <w:rFonts w:ascii="仿宋" w:hAnsi="仿宋" w:eastAsia="仿宋" w:cs="仿宋_GB2312"/>
                <w:bCs/>
                <w:sz w:val="24"/>
                <w:szCs w:val="24"/>
              </w:rPr>
            </w:pPr>
            <w:r>
              <w:rPr>
                <w:rFonts w:hint="eastAsia" w:ascii="仿宋" w:hAnsi="仿宋" w:eastAsia="仿宋" w:cs="仿宋_GB2312"/>
                <w:bCs/>
                <w:sz w:val="24"/>
                <w:szCs w:val="24"/>
              </w:rPr>
              <w:t>3</w:t>
            </w:r>
          </w:p>
        </w:tc>
        <w:tc>
          <w:tcPr>
            <w:tcW w:w="2118" w:type="dxa"/>
            <w:vAlign w:val="center"/>
          </w:tcPr>
          <w:p w14:paraId="610999CC">
            <w:pPr>
              <w:widowControl/>
              <w:spacing w:line="360" w:lineRule="auto"/>
              <w:jc w:val="left"/>
              <w:rPr>
                <w:rFonts w:ascii="仿宋" w:hAnsi="仿宋" w:eastAsia="仿宋" w:cs="仿宋_GB2312"/>
                <w:bCs/>
                <w:sz w:val="24"/>
                <w:szCs w:val="24"/>
              </w:rPr>
            </w:pPr>
            <w:r>
              <w:rPr>
                <w:rFonts w:hint="eastAsia" w:ascii="仿宋" w:hAnsi="仿宋" w:eastAsia="仿宋"/>
                <w:sz w:val="24"/>
                <w:szCs w:val="24"/>
              </w:rPr>
              <w:t>国际民事诉讼与商事仲裁</w:t>
            </w:r>
          </w:p>
        </w:tc>
        <w:tc>
          <w:tcPr>
            <w:tcW w:w="5922" w:type="dxa"/>
            <w:tcBorders>
              <w:top w:val="single" w:color="auto" w:sz="4" w:space="0"/>
              <w:bottom w:val="single" w:color="auto" w:sz="4" w:space="0"/>
            </w:tcBorders>
            <w:vAlign w:val="center"/>
          </w:tcPr>
          <w:p w14:paraId="10E0A370">
            <w:pPr>
              <w:widowControl/>
              <w:spacing w:line="360" w:lineRule="auto"/>
              <w:jc w:val="left"/>
              <w:rPr>
                <w:rFonts w:ascii="仿宋" w:hAnsi="仿宋" w:eastAsia="仿宋" w:cs="仿宋_GB2312"/>
                <w:bCs/>
                <w:sz w:val="24"/>
                <w:szCs w:val="24"/>
              </w:rPr>
            </w:pPr>
            <w:r>
              <w:rPr>
                <w:rFonts w:hint="eastAsia" w:ascii="仿宋" w:hAnsi="仿宋" w:eastAsia="仿宋"/>
                <w:sz w:val="24"/>
                <w:szCs w:val="24"/>
              </w:rPr>
              <w:t>本课程以问题为导向串连所有内容,侧重于从诉讼程序和仲裁程序的角度讲述国际民商事争议的解决,帮助学习者掌握国际民事程序法理论框架结构,注重理论联系实际并学以致用;提供比较法视野,帮助学生在国际民商事程序法中把握诉讼和仲裁程序的千差万别,学会思考说理并培养逻辑思维能力。</w:t>
            </w:r>
          </w:p>
        </w:tc>
      </w:tr>
      <w:tr w14:paraId="070D6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4" w:hRule="exact"/>
          <w:jc w:val="center"/>
        </w:trPr>
        <w:tc>
          <w:tcPr>
            <w:tcW w:w="1110" w:type="dxa"/>
            <w:vAlign w:val="center"/>
          </w:tcPr>
          <w:p w14:paraId="3BD08FA6">
            <w:pPr>
              <w:widowControl/>
              <w:spacing w:line="360" w:lineRule="auto"/>
              <w:jc w:val="center"/>
              <w:rPr>
                <w:rFonts w:ascii="仿宋" w:hAnsi="仿宋" w:eastAsia="仿宋" w:cs="仿宋_GB2312"/>
                <w:bCs/>
                <w:sz w:val="24"/>
                <w:szCs w:val="24"/>
              </w:rPr>
            </w:pPr>
            <w:r>
              <w:rPr>
                <w:rFonts w:hint="eastAsia" w:ascii="仿宋" w:hAnsi="仿宋" w:eastAsia="仿宋" w:cs="仿宋_GB2312"/>
                <w:bCs/>
                <w:sz w:val="24"/>
                <w:szCs w:val="24"/>
              </w:rPr>
              <w:t>4</w:t>
            </w:r>
          </w:p>
        </w:tc>
        <w:tc>
          <w:tcPr>
            <w:tcW w:w="2118" w:type="dxa"/>
            <w:vAlign w:val="center"/>
          </w:tcPr>
          <w:p w14:paraId="514217D3">
            <w:pPr>
              <w:widowControl/>
              <w:spacing w:line="360" w:lineRule="auto"/>
              <w:jc w:val="left"/>
              <w:rPr>
                <w:rFonts w:ascii="仿宋" w:hAnsi="仿宋" w:eastAsia="仿宋" w:cs="仿宋_GB2312"/>
                <w:bCs/>
                <w:sz w:val="24"/>
                <w:szCs w:val="24"/>
              </w:rPr>
            </w:pPr>
            <w:r>
              <w:rPr>
                <w:rFonts w:hint="eastAsia" w:ascii="仿宋" w:hAnsi="仿宋" w:eastAsia="仿宋"/>
                <w:sz w:val="24"/>
                <w:szCs w:val="24"/>
              </w:rPr>
              <w:t>英语法律文书写作</w:t>
            </w:r>
          </w:p>
        </w:tc>
        <w:tc>
          <w:tcPr>
            <w:tcW w:w="5922" w:type="dxa"/>
            <w:tcBorders>
              <w:top w:val="single" w:color="auto" w:sz="4" w:space="0"/>
              <w:bottom w:val="single" w:color="auto" w:sz="4" w:space="0"/>
            </w:tcBorders>
            <w:vAlign w:val="center"/>
          </w:tcPr>
          <w:p w14:paraId="1F61B814">
            <w:pPr>
              <w:widowControl/>
              <w:spacing w:line="360" w:lineRule="auto"/>
              <w:jc w:val="left"/>
              <w:rPr>
                <w:rFonts w:ascii="仿宋" w:hAnsi="仿宋" w:eastAsia="仿宋" w:cs="仿宋_GB2312"/>
                <w:bCs/>
                <w:sz w:val="24"/>
                <w:szCs w:val="24"/>
              </w:rPr>
            </w:pPr>
            <w:r>
              <w:rPr>
                <w:rFonts w:hint="eastAsia" w:ascii="仿宋" w:hAnsi="仿宋" w:eastAsia="仿宋"/>
                <w:sz w:val="24"/>
                <w:szCs w:val="24"/>
              </w:rPr>
              <w:t>本课程以实务文书案例为依托,选取涉外司法实践中常用的法律文书类型,帮助学习者了解基本英语法律文书写作知识,掌握法律文书中常见法律概念英语表达方法;以实用能力拓展为目标,指导学习者运用平易简约的现代法律语言,言简意赅表述内容,使法律文书得到准确理解和执行。</w:t>
            </w:r>
          </w:p>
        </w:tc>
      </w:tr>
      <w:tr w14:paraId="1D179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5" w:hRule="exact"/>
          <w:jc w:val="center"/>
        </w:trPr>
        <w:tc>
          <w:tcPr>
            <w:tcW w:w="1110" w:type="dxa"/>
            <w:vAlign w:val="center"/>
          </w:tcPr>
          <w:p w14:paraId="00DFAFF9">
            <w:pPr>
              <w:widowControl/>
              <w:spacing w:line="360" w:lineRule="auto"/>
              <w:jc w:val="center"/>
              <w:rPr>
                <w:rFonts w:ascii="仿宋" w:hAnsi="仿宋" w:eastAsia="仿宋" w:cs="仿宋_GB2312"/>
                <w:bCs/>
                <w:sz w:val="24"/>
                <w:szCs w:val="24"/>
              </w:rPr>
            </w:pPr>
            <w:r>
              <w:rPr>
                <w:rFonts w:hint="eastAsia" w:ascii="仿宋" w:hAnsi="仿宋" w:eastAsia="仿宋" w:cs="仿宋_GB2312"/>
                <w:bCs/>
                <w:sz w:val="24"/>
                <w:szCs w:val="24"/>
              </w:rPr>
              <w:t>5</w:t>
            </w:r>
          </w:p>
        </w:tc>
        <w:tc>
          <w:tcPr>
            <w:tcW w:w="2118" w:type="dxa"/>
            <w:vAlign w:val="center"/>
          </w:tcPr>
          <w:p w14:paraId="444EB702">
            <w:pPr>
              <w:widowControl/>
              <w:spacing w:line="360" w:lineRule="auto"/>
              <w:jc w:val="left"/>
              <w:rPr>
                <w:rFonts w:ascii="仿宋" w:hAnsi="仿宋" w:eastAsia="仿宋" w:cs="仿宋_GB2312"/>
                <w:bCs/>
                <w:sz w:val="24"/>
                <w:szCs w:val="24"/>
              </w:rPr>
            </w:pPr>
            <w:r>
              <w:rPr>
                <w:rFonts w:hint="eastAsia" w:ascii="仿宋" w:hAnsi="仿宋" w:eastAsia="仿宋"/>
                <w:sz w:val="24"/>
                <w:szCs w:val="24"/>
              </w:rPr>
              <w:t>国际法基础理论与实务拓展</w:t>
            </w:r>
          </w:p>
        </w:tc>
        <w:tc>
          <w:tcPr>
            <w:tcW w:w="5922" w:type="dxa"/>
            <w:tcBorders>
              <w:top w:val="single" w:color="auto" w:sz="4" w:space="0"/>
              <w:bottom w:val="single" w:color="auto" w:sz="4" w:space="0"/>
            </w:tcBorders>
            <w:vAlign w:val="center"/>
          </w:tcPr>
          <w:p w14:paraId="05B090FE">
            <w:pPr>
              <w:widowControl/>
              <w:spacing w:line="360" w:lineRule="auto"/>
              <w:jc w:val="left"/>
              <w:rPr>
                <w:rFonts w:ascii="仿宋" w:hAnsi="仿宋" w:eastAsia="仿宋" w:cs="仿宋_GB2312"/>
                <w:bCs/>
                <w:sz w:val="24"/>
                <w:szCs w:val="24"/>
              </w:rPr>
            </w:pPr>
            <w:r>
              <w:rPr>
                <w:rFonts w:hint="eastAsia" w:ascii="仿宋" w:hAnsi="仿宋" w:eastAsia="仿宋"/>
                <w:sz w:val="24"/>
                <w:szCs w:val="24"/>
              </w:rPr>
              <w:t>本课程在教学内容方面着重基础理论的讲解，并结合学界通说与国际法上的前沿发展，通过案例教学系统阐述国际法的基础理论与前沿实践，旨在让学生了解国际法基本概念、特征、理论、原则和制度，初步了解国际法这一学科的理论体系，同时培养学生的法学思维，深入思考国家发展与国际法的关系，认识到国际法是国家软实力的重要组成部分，培养学生家国情怀。</w:t>
            </w:r>
          </w:p>
        </w:tc>
      </w:tr>
    </w:tbl>
    <w:p w14:paraId="0F1F4C57"/>
    <w:sectPr>
      <w:pgSz w:w="11906" w:h="16838"/>
      <w:pgMar w:top="1134" w:right="1418" w:bottom="1134" w:left="1418" w:header="851" w:footer="454"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舒体"/>
    <w:panose1 w:val="00000000000000000000"/>
    <w:charset w:val="86"/>
    <w:family w:val="auto"/>
    <w:pitch w:val="default"/>
    <w:sig w:usb0="00000000" w:usb1="00000000" w:usb2="00000000" w:usb3="00000000" w:csb0="00040000" w:csb1="00000000"/>
  </w:font>
  <w:font w:name="Arial Unicode MS">
    <w:altName w:val="Arial"/>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5MmIxMDA0NmUxMTI3OTI0ODcyOTk2MmYwM2I1NGIifQ=="/>
  </w:docVars>
  <w:rsids>
    <w:rsidRoot w:val="0AE32D0C"/>
    <w:rsid w:val="000703B8"/>
    <w:rsid w:val="0007770F"/>
    <w:rsid w:val="001171AA"/>
    <w:rsid w:val="001D40F7"/>
    <w:rsid w:val="001E18A9"/>
    <w:rsid w:val="002D1061"/>
    <w:rsid w:val="00372B72"/>
    <w:rsid w:val="00381A54"/>
    <w:rsid w:val="004B5A3E"/>
    <w:rsid w:val="005545E7"/>
    <w:rsid w:val="00597148"/>
    <w:rsid w:val="005C0854"/>
    <w:rsid w:val="005D0C17"/>
    <w:rsid w:val="00757B4D"/>
    <w:rsid w:val="0076507D"/>
    <w:rsid w:val="008C1075"/>
    <w:rsid w:val="009B1FE8"/>
    <w:rsid w:val="009F6304"/>
    <w:rsid w:val="00B1790E"/>
    <w:rsid w:val="00B348CD"/>
    <w:rsid w:val="00BC45A1"/>
    <w:rsid w:val="00D529C8"/>
    <w:rsid w:val="00DB7AED"/>
    <w:rsid w:val="00F16F11"/>
    <w:rsid w:val="02641DFB"/>
    <w:rsid w:val="06300FCF"/>
    <w:rsid w:val="09954E0D"/>
    <w:rsid w:val="0AE32D0C"/>
    <w:rsid w:val="0AF85A36"/>
    <w:rsid w:val="0FB93D29"/>
    <w:rsid w:val="10A75028"/>
    <w:rsid w:val="1165300E"/>
    <w:rsid w:val="175A6EDF"/>
    <w:rsid w:val="1EEF22CE"/>
    <w:rsid w:val="21BF3E1B"/>
    <w:rsid w:val="2342170A"/>
    <w:rsid w:val="23D031BA"/>
    <w:rsid w:val="27054585"/>
    <w:rsid w:val="2A7F0264"/>
    <w:rsid w:val="2D572256"/>
    <w:rsid w:val="35B30245"/>
    <w:rsid w:val="3D7106DB"/>
    <w:rsid w:val="45B42AAD"/>
    <w:rsid w:val="45EC7588"/>
    <w:rsid w:val="46E13E64"/>
    <w:rsid w:val="47170634"/>
    <w:rsid w:val="49530C2E"/>
    <w:rsid w:val="496038EF"/>
    <w:rsid w:val="499B72F7"/>
    <w:rsid w:val="53966503"/>
    <w:rsid w:val="591744C4"/>
    <w:rsid w:val="5C2667BC"/>
    <w:rsid w:val="60E0197E"/>
    <w:rsid w:val="6221580D"/>
    <w:rsid w:val="64844FF7"/>
    <w:rsid w:val="649F2FD7"/>
    <w:rsid w:val="687B4BF8"/>
    <w:rsid w:val="6ABC6060"/>
    <w:rsid w:val="6EDB52A7"/>
    <w:rsid w:val="76BE65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lang w:val="en-US" w:eastAsia="zh-CN" w:bidi="ar-SA"/>
    </w:rPr>
  </w:style>
  <w:style w:type="character" w:default="1" w:styleId="3">
    <w:name w:val="Default Paragraph Font"/>
    <w:semiHidden/>
    <w:unhideWhenUsed/>
    <w:qFormat/>
    <w:uiPriority w:val="1"/>
  </w:style>
  <w:style w:type="table" w:default="1" w:styleId="2">
    <w:name w:val="Normal Table"/>
    <w:semiHidden/>
    <w:unhideWhenUsed/>
    <w:uiPriority w:val="99"/>
    <w:tblPr>
      <w:tblCellMar>
        <w:top w:w="0" w:type="dxa"/>
        <w:left w:w="108" w:type="dxa"/>
        <w:bottom w:w="0" w:type="dxa"/>
        <w:right w:w="108" w:type="dxa"/>
      </w:tblCellMar>
    </w:tblPr>
  </w:style>
  <w:style w:type="paragraph" w:styleId="4">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1352</Words>
  <Characters>1371</Characters>
  <Lines>10</Lines>
  <Paragraphs>2</Paragraphs>
  <TotalTime>23</TotalTime>
  <ScaleCrop>false</ScaleCrop>
  <LinksUpToDate>false</LinksUpToDate>
  <CharactersWithSpaces>1371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2023-05-06T03:14:00Z</dcterms:created>
  <dc:creator>Shine_ZHOU</dc:creator>
  <cp:lastModifiedBy>楠神～</cp:lastModifiedBy>
  <dcterms:modified xsi:type="dcterms:W3CDTF">2026-03-04T02:13:34Z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1E8C7582AC1B4502ADD90000F4E5B2C0_13</vt:lpwstr>
  </property>
  <property fmtid="{D5CDD505-2E9C-101B-9397-08002B2CF9AE}" pid="4" name="KSOTemplateDocerSaveRecord">
    <vt:lpwstr>eyJoZGlkIjoiYjg0ZmExYTU3NGNlM2UyZTU5MWI3NmNjMzkxODEwNzUiLCJ1c2VySWQiOiIzNzg0ODI4OTgifQ==</vt:lpwstr>
  </property>
</Properties>
</file>